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0113F" w14:textId="1D376CDC" w:rsidR="00001B0D" w:rsidRDefault="00000000">
      <w:pPr>
        <w:pStyle w:val="Title"/>
      </w:pPr>
      <w:bookmarkStart w:id="0" w:name="_fxylkjlls42" w:colFirst="0" w:colLast="0"/>
      <w:bookmarkEnd w:id="0"/>
      <w:r>
        <w:t xml:space="preserve">Project </w:t>
      </w:r>
      <w:r w:rsidR="00B871CA">
        <w:t>6</w:t>
      </w:r>
      <w:r>
        <w:t xml:space="preserve"> </w:t>
      </w:r>
      <w:r w:rsidR="00D1430C">
        <w:t>–</w:t>
      </w:r>
      <w:r>
        <w:t xml:space="preserve"> </w:t>
      </w:r>
      <w:r w:rsidR="00D1430C">
        <w:t>Indicator Evaluation</w:t>
      </w:r>
      <w:r>
        <w:t xml:space="preserve"> (Report)</w:t>
      </w:r>
    </w:p>
    <w:p w14:paraId="41E29459" w14:textId="77777777" w:rsidR="00001B0D" w:rsidRDefault="00000000">
      <w:pPr>
        <w:pStyle w:val="Subtitle"/>
        <w:spacing w:after="110"/>
      </w:pPr>
      <w:bookmarkStart w:id="1" w:name="_giykyz77g52r" w:colFirst="0" w:colLast="0"/>
      <w:bookmarkEnd w:id="1"/>
      <w:r>
        <w:t xml:space="preserve">Vishnu </w:t>
      </w:r>
      <w:proofErr w:type="spellStart"/>
      <w:r>
        <w:t>Kamaraju</w:t>
      </w:r>
      <w:proofErr w:type="spellEnd"/>
      <w:r>
        <w:br/>
        <w:t>vkamaraju6@gatech.edu</w:t>
      </w:r>
    </w:p>
    <w:p w14:paraId="2C61FAEB" w14:textId="7AF31247" w:rsidR="00001B0D" w:rsidRDefault="00000000">
      <w:pPr>
        <w:ind w:left="720" w:right="720"/>
      </w:pPr>
      <w:r>
        <w:rPr>
          <w:b/>
          <w:i/>
        </w:rPr>
        <w:t>Abstract—</w:t>
      </w:r>
      <w:r w:rsidR="002B4971" w:rsidRPr="002B4971">
        <w:t>This project focuses on developing and evaluating a Theoretically Optimal Strategy (TOS) for trading the stock of JPMorgan Chase (JPM) during the</w:t>
      </w:r>
      <w:r w:rsidR="008624BB">
        <w:t xml:space="preserve"> </w:t>
      </w:r>
      <w:r w:rsidR="002B4971" w:rsidRPr="002B4971">
        <w:t>period of January 1, 2008, to December 31, 2009. The TOS utilizes perfect foresight in trading, resulting in a cumulative return of 579.84% with lower volatility compared to a benchmark strategy that holds 1,000 shares of JPM throughout the same period, which only achieved a 1.23% retur</w:t>
      </w:r>
      <w:r w:rsidR="002B4971">
        <w:t>n</w:t>
      </w:r>
      <w:r w:rsidR="007D0278">
        <w:t xml:space="preserve">. </w:t>
      </w:r>
      <w:r w:rsidR="007D0278" w:rsidRPr="007D0278">
        <w:t xml:space="preserve">Five technical indicators were also tested, effectively identifying optimal buy/sell periods </w:t>
      </w:r>
      <w:r w:rsidR="00AB02DE">
        <w:t>during the same time</w:t>
      </w:r>
      <w:r w:rsidR="007D0278" w:rsidRPr="007D0278">
        <w:t>. The study highlights the potential of combining theoretical and technical strategies to maximize trading performance.</w:t>
      </w:r>
    </w:p>
    <w:p w14:paraId="45E3C204" w14:textId="77777777" w:rsidR="00001B0D" w:rsidRPr="001E08BB" w:rsidRDefault="00000000">
      <w:pPr>
        <w:pStyle w:val="Heading1"/>
        <w:spacing w:before="220"/>
        <w:rPr>
          <w:sz w:val="24"/>
          <w:szCs w:val="24"/>
        </w:rPr>
      </w:pPr>
      <w:bookmarkStart w:id="2" w:name="_vgkhfrewdxk0" w:colFirst="0" w:colLast="0"/>
      <w:bookmarkEnd w:id="2"/>
      <w:r w:rsidRPr="001E08BB">
        <w:rPr>
          <w:smallCaps w:val="0"/>
          <w:sz w:val="24"/>
          <w:szCs w:val="24"/>
        </w:rPr>
        <w:t>1</w:t>
      </w:r>
      <w:r w:rsidRPr="001E08BB">
        <w:rPr>
          <w:sz w:val="24"/>
          <w:szCs w:val="24"/>
        </w:rPr>
        <w:t xml:space="preserve"> Introduction</w:t>
      </w:r>
    </w:p>
    <w:p w14:paraId="4EB5904A" w14:textId="419167DA" w:rsidR="00E919CD" w:rsidRPr="00E919CD" w:rsidRDefault="00E919CD" w:rsidP="00E919CD">
      <w:pPr>
        <w:rPr>
          <w:lang w:val="en-US"/>
        </w:rPr>
      </w:pPr>
      <w:r w:rsidRPr="00E919CD">
        <w:rPr>
          <w:lang w:val="en-US"/>
        </w:rPr>
        <w:t>This project examines the performance of a Theoretically Optimal Strategy (TOS) for trading JPMorgan Chase (JPM) stock during the 2008 financial crisis. The TOS assumes perfect foresight of future price movements, contrasting traditional strategies reliant on historical trends.</w:t>
      </w:r>
    </w:p>
    <w:p w14:paraId="266D36E8" w14:textId="77777777" w:rsidR="00E919CD" w:rsidRPr="00E919CD" w:rsidRDefault="00E919CD" w:rsidP="00E919CD">
      <w:pPr>
        <w:rPr>
          <w:lang w:val="en-US"/>
        </w:rPr>
      </w:pPr>
      <w:r w:rsidRPr="00E919CD">
        <w:rPr>
          <w:lang w:val="en-US"/>
        </w:rPr>
        <w:t>Additionally, this project utilizes technical indicators – including Price to SMA Ratio, Bollinger Bands, Momentum Indicator, Percentage Price Oscillator, and Commodity Channel Index (CCI) – to derive actionable trading signals.</w:t>
      </w:r>
    </w:p>
    <w:p w14:paraId="4D96F994" w14:textId="4AB2AE02" w:rsidR="00001B0D" w:rsidRPr="00E919CD" w:rsidRDefault="001C5C03">
      <w:pPr>
        <w:rPr>
          <w:lang w:val="en-US"/>
        </w:rPr>
      </w:pPr>
      <w:r>
        <w:rPr>
          <w:lang w:val="en-US"/>
        </w:rPr>
        <w:t>The goal of this analysis is</w:t>
      </w:r>
      <w:r w:rsidR="00E919CD" w:rsidRPr="00E919CD">
        <w:rPr>
          <w:lang w:val="en-US"/>
        </w:rPr>
        <w:t xml:space="preserve"> to demonstrate the benefits of integrating theoretical strategies with empirical indicators</w:t>
      </w:r>
      <w:r w:rsidR="00BA07A6">
        <w:rPr>
          <w:lang w:val="en-US"/>
        </w:rPr>
        <w:t>.</w:t>
      </w:r>
      <w:r w:rsidR="005A2807">
        <w:t xml:space="preserve"> </w:t>
      </w:r>
    </w:p>
    <w:p w14:paraId="3A522AA2" w14:textId="0F11018C" w:rsidR="00987E73" w:rsidRPr="001E08BB" w:rsidRDefault="00172527" w:rsidP="00E74AFE">
      <w:pPr>
        <w:pStyle w:val="Heading1"/>
        <w:rPr>
          <w:sz w:val="24"/>
          <w:szCs w:val="24"/>
        </w:rPr>
      </w:pPr>
      <w:bookmarkStart w:id="3" w:name="_pmbj0cqwfcca" w:colFirst="0" w:colLast="0"/>
      <w:bookmarkEnd w:id="3"/>
      <w:r>
        <w:rPr>
          <w:sz w:val="24"/>
          <w:szCs w:val="24"/>
        </w:rPr>
        <w:t>2</w:t>
      </w:r>
      <w:r w:rsidR="00987E73" w:rsidRPr="001E08BB">
        <w:rPr>
          <w:sz w:val="24"/>
          <w:szCs w:val="24"/>
        </w:rPr>
        <w:t xml:space="preserve"> Experiment</w:t>
      </w:r>
      <w:r w:rsidR="001308A6" w:rsidRPr="001E08BB">
        <w:rPr>
          <w:sz w:val="24"/>
          <w:szCs w:val="24"/>
        </w:rPr>
        <w:t>s</w:t>
      </w:r>
    </w:p>
    <w:p w14:paraId="33F192B6" w14:textId="6FA3B1EB" w:rsidR="00001B0D" w:rsidRPr="00556505" w:rsidRDefault="00172527" w:rsidP="00E74AFE">
      <w:pPr>
        <w:pStyle w:val="Heading1"/>
        <w:rPr>
          <w:bCs/>
          <w:sz w:val="23"/>
          <w:szCs w:val="23"/>
          <w:lang w:val="en-US"/>
        </w:rPr>
      </w:pPr>
      <w:r>
        <w:rPr>
          <w:b w:val="0"/>
          <w:bCs/>
          <w:sz w:val="23"/>
          <w:szCs w:val="23"/>
        </w:rPr>
        <w:t>2</w:t>
      </w:r>
      <w:r w:rsidR="001308A6" w:rsidRPr="00556505">
        <w:rPr>
          <w:b w:val="0"/>
          <w:bCs/>
          <w:sz w:val="23"/>
          <w:szCs w:val="23"/>
        </w:rPr>
        <w:t xml:space="preserve">.1 </w:t>
      </w:r>
      <w:r w:rsidR="00541274" w:rsidRPr="00556505">
        <w:rPr>
          <w:b w:val="0"/>
          <w:bCs/>
          <w:sz w:val="23"/>
          <w:szCs w:val="23"/>
        </w:rPr>
        <w:t xml:space="preserve">part 1: </w:t>
      </w:r>
      <w:r w:rsidR="00541274" w:rsidRPr="00556505">
        <w:rPr>
          <w:rFonts w:ascii="Lato" w:eastAsia="Times New Roman" w:hAnsi="Lato" w:cs="Times New Roman"/>
          <w:bCs/>
          <w:i/>
          <w:color w:val="2D3B45"/>
          <w:sz w:val="23"/>
          <w:szCs w:val="23"/>
          <w:lang w:val="en-US"/>
        </w:rPr>
        <w:t xml:space="preserve"> </w:t>
      </w:r>
      <w:r w:rsidR="00541274" w:rsidRPr="00556505">
        <w:rPr>
          <w:bCs/>
          <w:sz w:val="23"/>
          <w:szCs w:val="23"/>
          <w:lang w:val="en-US"/>
        </w:rPr>
        <w:t>Th</w:t>
      </w:r>
      <w:r w:rsidR="00541274" w:rsidRPr="00556505">
        <w:rPr>
          <w:bCs/>
          <w:sz w:val="23"/>
          <w:szCs w:val="23"/>
          <w:lang w:val="en-US"/>
        </w:rPr>
        <w:t>eoretically Optimal Strategy</w:t>
      </w:r>
      <w:r w:rsidR="00E23F9B">
        <w:rPr>
          <w:bCs/>
          <w:sz w:val="23"/>
          <w:szCs w:val="23"/>
          <w:lang w:val="en-US"/>
        </w:rPr>
        <w:t xml:space="preserve"> (TOS)</w:t>
      </w:r>
    </w:p>
    <w:p w14:paraId="2D4DCDB5" w14:textId="6150E657" w:rsidR="004B3760" w:rsidRPr="004B3760" w:rsidRDefault="00E23F9B" w:rsidP="004B3760">
      <w:pPr>
        <w:spacing w:after="160" w:line="370" w:lineRule="auto"/>
        <w:rPr>
          <w:lang w:val="en-US"/>
        </w:rPr>
      </w:pPr>
      <w:r>
        <w:t>This part</w:t>
      </w:r>
      <w:r w:rsidR="004B3760" w:rsidRPr="004B3760">
        <w:rPr>
          <w:lang w:val="en-US"/>
        </w:rPr>
        <w:t xml:space="preserve"> focuses on the evaluation of a Theoretically Optimal Strategy (TOS) for trading JPMorgan Chase (JPM) stock during the period from January 1, 2008, to </w:t>
      </w:r>
      <w:r w:rsidR="004B3760" w:rsidRPr="004B3760">
        <w:rPr>
          <w:lang w:val="en-US"/>
        </w:rPr>
        <w:lastRenderedPageBreak/>
        <w:t xml:space="preserve">December 31, 2009. The TOS employs </w:t>
      </w:r>
      <w:r w:rsidR="00691224">
        <w:rPr>
          <w:lang w:val="en-US"/>
        </w:rPr>
        <w:t xml:space="preserve">a </w:t>
      </w:r>
      <w:r w:rsidR="004B3760" w:rsidRPr="004B3760">
        <w:rPr>
          <w:lang w:val="en-US"/>
        </w:rPr>
        <w:t>trading approach that assumes perfect foresight of future price movements, allowing for maximized returns.</w:t>
      </w:r>
    </w:p>
    <w:p w14:paraId="1CD96050" w14:textId="2C62AA0F" w:rsidR="004B3760" w:rsidRPr="004B3760" w:rsidRDefault="004B3760" w:rsidP="004B3760">
      <w:pPr>
        <w:spacing w:after="160" w:line="370" w:lineRule="auto"/>
        <w:rPr>
          <w:lang w:val="en-US"/>
        </w:rPr>
      </w:pPr>
      <w:r w:rsidRPr="004B3760">
        <w:rPr>
          <w:lang w:val="en-US"/>
        </w:rPr>
        <w:t>The performance of the TOS was compared against a benchmark strategy, which involved holding 1,000 shares of JPM throughout the same period. Both strategies were normalized to a starting portfolio value of 1.0</w:t>
      </w:r>
      <w:r w:rsidR="00691224">
        <w:rPr>
          <w:lang w:val="en-US"/>
        </w:rPr>
        <w:t xml:space="preserve">. </w:t>
      </w:r>
      <w:r w:rsidRPr="004B3760">
        <w:rPr>
          <w:lang w:val="en-US"/>
        </w:rPr>
        <w:t xml:space="preserve">The results </w:t>
      </w:r>
      <w:r w:rsidR="00AD5F77">
        <w:rPr>
          <w:lang w:val="en-US"/>
        </w:rPr>
        <w:t>showed</w:t>
      </w:r>
      <w:r w:rsidRPr="004B3760">
        <w:rPr>
          <w:lang w:val="en-US"/>
        </w:rPr>
        <w:t xml:space="preserve"> a stark contrast between the two approaches:</w:t>
      </w:r>
    </w:p>
    <w:p w14:paraId="5A50A272" w14:textId="23643292" w:rsidR="004B3760" w:rsidRPr="004B3760" w:rsidRDefault="004B3760" w:rsidP="004B3760">
      <w:pPr>
        <w:numPr>
          <w:ilvl w:val="0"/>
          <w:numId w:val="5"/>
        </w:numPr>
        <w:spacing w:after="160" w:line="370" w:lineRule="auto"/>
        <w:rPr>
          <w:lang w:val="en-US"/>
        </w:rPr>
      </w:pPr>
      <w:r w:rsidRPr="004B3760">
        <w:rPr>
          <w:b/>
          <w:bCs/>
          <w:lang w:val="en-US"/>
        </w:rPr>
        <w:t>Cumulative Return</w:t>
      </w:r>
      <w:r w:rsidRPr="004B3760">
        <w:rPr>
          <w:lang w:val="en-US"/>
        </w:rPr>
        <w:t>: The TOS achieved</w:t>
      </w:r>
      <w:r w:rsidR="00691224">
        <w:rPr>
          <w:lang w:val="en-US"/>
        </w:rPr>
        <w:t xml:space="preserve"> </w:t>
      </w:r>
      <w:r w:rsidRPr="004B3760">
        <w:rPr>
          <w:lang w:val="en-US"/>
        </w:rPr>
        <w:t xml:space="preserve">a </w:t>
      </w:r>
      <w:r w:rsidR="00691224">
        <w:rPr>
          <w:lang w:val="en-US"/>
        </w:rPr>
        <w:t>high</w:t>
      </w:r>
      <w:r w:rsidRPr="004B3760">
        <w:rPr>
          <w:lang w:val="en-US"/>
        </w:rPr>
        <w:t xml:space="preserve"> cumulative return of </w:t>
      </w:r>
      <w:r w:rsidRPr="004B3760">
        <w:rPr>
          <w:b/>
          <w:bCs/>
          <w:lang w:val="en-US"/>
        </w:rPr>
        <w:t>579.84%</w:t>
      </w:r>
      <w:r w:rsidRPr="004B3760">
        <w:rPr>
          <w:lang w:val="en-US"/>
        </w:rPr>
        <w:t xml:space="preserve">, while the benchmark yielded </w:t>
      </w:r>
      <w:r w:rsidRPr="004B3760">
        <w:rPr>
          <w:b/>
          <w:bCs/>
          <w:lang w:val="en-US"/>
        </w:rPr>
        <w:t>1.23%</w:t>
      </w:r>
      <w:r w:rsidRPr="004B3760">
        <w:rPr>
          <w:lang w:val="en-US"/>
        </w:rPr>
        <w:t>.</w:t>
      </w:r>
    </w:p>
    <w:p w14:paraId="6274D0E5" w14:textId="77777777" w:rsidR="004B3760" w:rsidRPr="004B3760" w:rsidRDefault="004B3760" w:rsidP="004B3760">
      <w:pPr>
        <w:numPr>
          <w:ilvl w:val="0"/>
          <w:numId w:val="5"/>
        </w:numPr>
        <w:spacing w:after="160" w:line="370" w:lineRule="auto"/>
        <w:rPr>
          <w:lang w:val="en-US"/>
        </w:rPr>
      </w:pPr>
      <w:r w:rsidRPr="004B3760">
        <w:rPr>
          <w:b/>
          <w:bCs/>
          <w:lang w:val="en-US"/>
        </w:rPr>
        <w:t>Daily Returns</w:t>
      </w:r>
      <w:r w:rsidRPr="004B3760">
        <w:rPr>
          <w:lang w:val="en-US"/>
        </w:rPr>
        <w:t>: The mean of the portfolio's daily returns stood at </w:t>
      </w:r>
      <w:r w:rsidRPr="004B3760">
        <w:rPr>
          <w:b/>
          <w:bCs/>
          <w:lang w:val="en-US"/>
        </w:rPr>
        <w:t>0.3843%</w:t>
      </w:r>
      <w:r w:rsidRPr="004B3760">
        <w:rPr>
          <w:lang w:val="en-US"/>
        </w:rPr>
        <w:t>, significantly higher than the benchmark's </w:t>
      </w:r>
      <w:r w:rsidRPr="004B3760">
        <w:rPr>
          <w:b/>
          <w:bCs/>
          <w:lang w:val="en-US"/>
        </w:rPr>
        <w:t>0.0168%</w:t>
      </w:r>
      <w:r w:rsidRPr="004B3760">
        <w:rPr>
          <w:lang w:val="en-US"/>
        </w:rPr>
        <w:t>.</w:t>
      </w:r>
    </w:p>
    <w:p w14:paraId="367EC718" w14:textId="77777777" w:rsidR="004B3760" w:rsidRPr="004B3760" w:rsidRDefault="004B3760" w:rsidP="004B3760">
      <w:pPr>
        <w:numPr>
          <w:ilvl w:val="0"/>
          <w:numId w:val="5"/>
        </w:numPr>
        <w:spacing w:after="160" w:line="370" w:lineRule="auto"/>
        <w:rPr>
          <w:lang w:val="en-US"/>
        </w:rPr>
      </w:pPr>
      <w:r w:rsidRPr="004B3760">
        <w:rPr>
          <w:b/>
          <w:bCs/>
          <w:lang w:val="en-US"/>
        </w:rPr>
        <w:t>Volatility</w:t>
      </w:r>
      <w:r w:rsidRPr="004B3760">
        <w:rPr>
          <w:lang w:val="en-US"/>
        </w:rPr>
        <w:t>: The standard deviation of daily returns for the TOS was </w:t>
      </w:r>
      <w:r w:rsidRPr="004B3760">
        <w:rPr>
          <w:b/>
          <w:bCs/>
          <w:lang w:val="en-US"/>
        </w:rPr>
        <w:t>0.008262</w:t>
      </w:r>
      <w:r w:rsidRPr="004B3760">
        <w:rPr>
          <w:lang w:val="en-US"/>
        </w:rPr>
        <w:t>, indicating lower volatility compared to the benchmark's </w:t>
      </w:r>
      <w:r w:rsidRPr="004B3760">
        <w:rPr>
          <w:b/>
          <w:bCs/>
          <w:lang w:val="en-US"/>
        </w:rPr>
        <w:t>0.017004</w:t>
      </w:r>
      <w:r w:rsidRPr="004B3760">
        <w:rPr>
          <w:lang w:val="en-US"/>
        </w:rPr>
        <w:t>.</w:t>
      </w:r>
    </w:p>
    <w:p w14:paraId="38A8BEC2" w14:textId="3D34A675" w:rsidR="004B3760" w:rsidRDefault="004B3760" w:rsidP="004B3760">
      <w:pPr>
        <w:spacing w:after="160" w:line="370" w:lineRule="auto"/>
        <w:rPr>
          <w:lang w:val="en-US"/>
        </w:rPr>
      </w:pPr>
      <w:r w:rsidRPr="004B3760">
        <w:rPr>
          <w:lang w:val="en-US"/>
        </w:rPr>
        <w:t xml:space="preserve">These results demonstrate that the TOS not only outperformed the benchmark in terms of total return but also </w:t>
      </w:r>
      <w:r w:rsidR="00691224">
        <w:rPr>
          <w:lang w:val="en-US"/>
        </w:rPr>
        <w:t>showed</w:t>
      </w:r>
      <w:r w:rsidRPr="004B3760">
        <w:rPr>
          <w:lang w:val="en-US"/>
        </w:rPr>
        <w:t xml:space="preserve"> lower risk, as indicated by its </w:t>
      </w:r>
      <w:r w:rsidR="00691224">
        <w:rPr>
          <w:lang w:val="en-US"/>
        </w:rPr>
        <w:t>low standard deviation</w:t>
      </w:r>
      <w:r w:rsidRPr="004B3760">
        <w:rPr>
          <w:lang w:val="en-US"/>
        </w:rPr>
        <w:t xml:space="preserve">. </w:t>
      </w:r>
      <w:r w:rsidR="00665B41">
        <w:rPr>
          <w:lang w:val="en-US"/>
        </w:rPr>
        <w:t>Figure -1 provides a good overview of this behavior.</w:t>
      </w:r>
    </w:p>
    <w:p w14:paraId="40967A7E" w14:textId="4446F8F2" w:rsidR="00665B41" w:rsidRDefault="00665B41" w:rsidP="00665B41">
      <w:pPr>
        <w:spacing w:after="160" w:line="370" w:lineRule="auto"/>
        <w:jc w:val="center"/>
        <w:rPr>
          <w:lang w:val="en-US"/>
        </w:rPr>
      </w:pPr>
      <w:r w:rsidRPr="00665B41">
        <w:rPr>
          <w:lang w:val="en-US"/>
        </w:rPr>
        <w:lastRenderedPageBreak/>
        <w:drawing>
          <wp:inline distT="0" distB="0" distL="0" distR="0" wp14:anchorId="71C93A65" wp14:editId="04B40AC8">
            <wp:extent cx="4177784" cy="3143360"/>
            <wp:effectExtent l="0" t="0" r="635" b="6350"/>
            <wp:docPr id="604786790" name="Picture 1" descr="A graph of a graph showing a graph of val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86790" name="Picture 1" descr="A graph of a graph showing a graph of value&#10;&#10;Description automatically generated with medium confidence"/>
                    <pic:cNvPicPr/>
                  </pic:nvPicPr>
                  <pic:blipFill>
                    <a:blip r:embed="rId7"/>
                    <a:stretch>
                      <a:fillRect/>
                    </a:stretch>
                  </pic:blipFill>
                  <pic:spPr>
                    <a:xfrm>
                      <a:off x="0" y="0"/>
                      <a:ext cx="4220650" cy="3175612"/>
                    </a:xfrm>
                    <a:prstGeom prst="rect">
                      <a:avLst/>
                    </a:prstGeom>
                  </pic:spPr>
                </pic:pic>
              </a:graphicData>
            </a:graphic>
          </wp:inline>
        </w:drawing>
      </w:r>
    </w:p>
    <w:p w14:paraId="669AC669" w14:textId="06509494" w:rsidR="00665B41" w:rsidRPr="009E28BC" w:rsidRDefault="00665B41" w:rsidP="00665B41">
      <w:pPr>
        <w:spacing w:after="160" w:line="370" w:lineRule="auto"/>
        <w:jc w:val="center"/>
        <w:rPr>
          <w:b/>
          <w:i/>
          <w:sz w:val="17"/>
          <w:szCs w:val="17"/>
        </w:rPr>
      </w:pPr>
      <w:r>
        <w:rPr>
          <w:b/>
          <w:i/>
          <w:sz w:val="17"/>
          <w:szCs w:val="17"/>
        </w:rPr>
        <w:t>Figure 1—</w:t>
      </w:r>
      <w:r>
        <w:rPr>
          <w:sz w:val="17"/>
          <w:szCs w:val="17"/>
        </w:rPr>
        <w:t xml:space="preserve"> </w:t>
      </w:r>
      <w:r>
        <w:rPr>
          <w:sz w:val="17"/>
          <w:szCs w:val="17"/>
        </w:rPr>
        <w:t>Captures the performance of TOS against Benchmark</w:t>
      </w:r>
    </w:p>
    <w:p w14:paraId="7936D751" w14:textId="72DBF15D" w:rsidR="00001B0D" w:rsidRPr="004B3760" w:rsidRDefault="004B3760">
      <w:pPr>
        <w:spacing w:after="160" w:line="370" w:lineRule="auto"/>
        <w:rPr>
          <w:lang w:val="en-US"/>
        </w:rPr>
      </w:pPr>
      <w:r w:rsidRPr="004B3760">
        <w:rPr>
          <w:lang w:val="en-US"/>
        </w:rPr>
        <w:t xml:space="preserve">In conclusion, this implementation emphasizes the advantages of utilizing an idealized trading strategy with perfect foresight, contrasting sharply with the conservative nature of passive investment strategies during the 2008 financial crisis. </w:t>
      </w:r>
    </w:p>
    <w:p w14:paraId="1B0130F4" w14:textId="131E8BC8" w:rsidR="001C430A" w:rsidRPr="00556505" w:rsidRDefault="00601495" w:rsidP="00BF5F19">
      <w:pPr>
        <w:pStyle w:val="Heading1"/>
        <w:rPr>
          <w:sz w:val="23"/>
          <w:szCs w:val="23"/>
        </w:rPr>
      </w:pPr>
      <w:bookmarkStart w:id="4" w:name="_gavybttubzb9" w:colFirst="0" w:colLast="0"/>
      <w:bookmarkEnd w:id="4"/>
      <w:r>
        <w:rPr>
          <w:sz w:val="23"/>
          <w:szCs w:val="23"/>
        </w:rPr>
        <w:t>2</w:t>
      </w:r>
      <w:r w:rsidR="001308A6" w:rsidRPr="00556505">
        <w:rPr>
          <w:sz w:val="23"/>
          <w:szCs w:val="23"/>
        </w:rPr>
        <w:t>.2</w:t>
      </w:r>
      <w:r w:rsidR="00F04250" w:rsidRPr="00556505">
        <w:rPr>
          <w:sz w:val="23"/>
          <w:szCs w:val="23"/>
        </w:rPr>
        <w:t xml:space="preserve"> </w:t>
      </w:r>
      <w:r w:rsidR="00F04250" w:rsidRPr="00556505">
        <w:rPr>
          <w:b w:val="0"/>
          <w:bCs/>
          <w:sz w:val="23"/>
          <w:szCs w:val="23"/>
        </w:rPr>
        <w:t xml:space="preserve">Part </w:t>
      </w:r>
      <w:r w:rsidR="001C430A" w:rsidRPr="00556505">
        <w:rPr>
          <w:b w:val="0"/>
          <w:bCs/>
          <w:sz w:val="23"/>
          <w:szCs w:val="23"/>
        </w:rPr>
        <w:t>2</w:t>
      </w:r>
      <w:r w:rsidR="00F04250" w:rsidRPr="00556505">
        <w:rPr>
          <w:b w:val="0"/>
          <w:bCs/>
          <w:sz w:val="23"/>
          <w:szCs w:val="23"/>
        </w:rPr>
        <w:t xml:space="preserve">: </w:t>
      </w:r>
      <w:r w:rsidR="00F04250" w:rsidRPr="00556505">
        <w:rPr>
          <w:sz w:val="23"/>
          <w:szCs w:val="23"/>
        </w:rPr>
        <w:t>Technical Indicators</w:t>
      </w:r>
    </w:p>
    <w:p w14:paraId="4EBA1F30" w14:textId="50B724A2" w:rsidR="00AE4714" w:rsidRDefault="00ED75FB" w:rsidP="00AE4714">
      <w:pPr>
        <w:pStyle w:val="Heading2"/>
        <w:rPr>
          <w:rFonts w:ascii="-webkit-standard" w:hAnsi="-webkit-standard"/>
          <w:color w:val="000000"/>
          <w:sz w:val="27"/>
          <w:szCs w:val="27"/>
        </w:rPr>
      </w:pPr>
      <w:r>
        <w:t>2</w:t>
      </w:r>
      <w:r w:rsidR="00FA4663">
        <w:t xml:space="preserve">.2.1 </w:t>
      </w:r>
      <w:r w:rsidR="00FC3AE9" w:rsidRPr="00FC3AE9">
        <w:t>Price to Simple Moving Average (SMA)</w:t>
      </w:r>
      <w:r w:rsidR="00FA4663">
        <w:t>:</w:t>
      </w:r>
      <w:r w:rsidR="00FC3AE9" w:rsidRPr="00FC3AE9">
        <w:rPr>
          <w:rFonts w:ascii="-webkit-standard" w:hAnsi="-webkit-standard"/>
          <w:color w:val="000000"/>
          <w:sz w:val="27"/>
          <w:szCs w:val="27"/>
        </w:rPr>
        <w:t xml:space="preserve"> </w:t>
      </w:r>
    </w:p>
    <w:p w14:paraId="57262183" w14:textId="77B83F94" w:rsidR="001D200C" w:rsidRDefault="00AE4714" w:rsidP="003A354E">
      <w:pPr>
        <w:spacing w:after="160" w:line="370" w:lineRule="auto"/>
      </w:pPr>
      <w:r>
        <w:t>C</w:t>
      </w:r>
      <w:r w:rsidR="00FC3AE9" w:rsidRPr="00FC3AE9">
        <w:t>ompares the stock price to its SMA over a window</w:t>
      </w:r>
      <w:r w:rsidR="00FC3AE9">
        <w:t xml:space="preserve"> (</w:t>
      </w:r>
      <w:r w:rsidR="00FC3AE9" w:rsidRPr="00FC3AE9">
        <w:t>12-day</w:t>
      </w:r>
      <w:r w:rsidR="00FC3AE9">
        <w:t>s in this implementation)</w:t>
      </w:r>
      <w:r w:rsidR="00FC3AE9" w:rsidRPr="00FC3AE9">
        <w:t>, offering insights into whether the stock is overbought or undervalued at any given time</w:t>
      </w:r>
      <w:r w:rsidR="001E03C8">
        <w:t xml:space="preserve">. </w:t>
      </w:r>
    </w:p>
    <w:p w14:paraId="3E00854D" w14:textId="0249D1CF" w:rsidR="00753392" w:rsidRPr="00753392" w:rsidRDefault="00753392" w:rsidP="00753392">
      <w:pPr>
        <w:spacing w:after="160" w:line="370" w:lineRule="auto"/>
        <w:rPr>
          <w:lang w:val="en-US"/>
        </w:rPr>
      </w:pPr>
      <w:r w:rsidRPr="00753392">
        <w:rPr>
          <w:lang w:val="en-US"/>
        </w:rPr>
        <w:t>This ratio helps traders identify buy and sell signals by assessing the stock’s performance relative to its moving average.</w:t>
      </w:r>
    </w:p>
    <w:p w14:paraId="3506C0E0" w14:textId="77777777" w:rsidR="00753392" w:rsidRPr="00753392" w:rsidRDefault="00753392" w:rsidP="00753392">
      <w:pPr>
        <w:spacing w:after="160" w:line="370" w:lineRule="auto"/>
        <w:rPr>
          <w:b/>
          <w:bCs/>
          <w:lang w:val="en-US"/>
        </w:rPr>
      </w:pPr>
      <w:r w:rsidRPr="00753392">
        <w:rPr>
          <w:b/>
          <w:bCs/>
          <w:lang w:val="en-US"/>
        </w:rPr>
        <w:t>Buy and Sell Signals:</w:t>
      </w:r>
    </w:p>
    <w:p w14:paraId="5F222C69" w14:textId="3AE24C94" w:rsidR="00753392" w:rsidRPr="00753392" w:rsidRDefault="00753392" w:rsidP="00753392">
      <w:pPr>
        <w:numPr>
          <w:ilvl w:val="0"/>
          <w:numId w:val="6"/>
        </w:numPr>
        <w:spacing w:after="160" w:line="370" w:lineRule="auto"/>
        <w:rPr>
          <w:lang w:val="en-US"/>
        </w:rPr>
      </w:pPr>
      <w:r w:rsidRPr="00753392">
        <w:rPr>
          <w:b/>
          <w:bCs/>
          <w:lang w:val="en-US"/>
        </w:rPr>
        <w:lastRenderedPageBreak/>
        <w:t>Buy Signal</w:t>
      </w:r>
      <w:r w:rsidRPr="00753392">
        <w:rPr>
          <w:lang w:val="en-US"/>
        </w:rPr>
        <w:t xml:space="preserve">: When the Price/SMA ratio drops significantly below 1, it suggests the price is undervalued relative to its moving average. In such cases, a recovery in the ratio may indicate a potential buying opportunity. This scenario was observed around mid-2008 when the ratio </w:t>
      </w:r>
      <w:r w:rsidR="001B5B27">
        <w:rPr>
          <w:lang w:val="en-US"/>
        </w:rPr>
        <w:t>dropped</w:t>
      </w:r>
      <w:r w:rsidRPr="00753392">
        <w:rPr>
          <w:lang w:val="en-US"/>
        </w:rPr>
        <w:t xml:space="preserve"> below 1, signaling that JPM was undervalued.</w:t>
      </w:r>
    </w:p>
    <w:p w14:paraId="3D0EAC95" w14:textId="77777777" w:rsidR="00753392" w:rsidRPr="00753392" w:rsidRDefault="00753392" w:rsidP="00753392">
      <w:pPr>
        <w:numPr>
          <w:ilvl w:val="0"/>
          <w:numId w:val="6"/>
        </w:numPr>
        <w:spacing w:after="160" w:line="370" w:lineRule="auto"/>
        <w:rPr>
          <w:lang w:val="en-US"/>
        </w:rPr>
      </w:pPr>
      <w:r w:rsidRPr="00753392">
        <w:rPr>
          <w:b/>
          <w:bCs/>
          <w:lang w:val="en-US"/>
        </w:rPr>
        <w:t>Sell Signal</w:t>
      </w:r>
      <w:r w:rsidRPr="00753392">
        <w:rPr>
          <w:lang w:val="en-US"/>
        </w:rPr>
        <w:t>: When the Price/SMA ratio rises significantly above 1, it suggests that the stock is overbought. This was seen towards late 2009 when the ratio crossed above 1, indicating that JPM stock might be overvalued, thus signaling a potential sell opportunity.</w:t>
      </w:r>
    </w:p>
    <w:p w14:paraId="53327E0A" w14:textId="3C2FC2CA" w:rsidR="007E6AAE" w:rsidRDefault="007E6AAE" w:rsidP="007E6AAE">
      <w:pPr>
        <w:spacing w:after="160" w:line="370" w:lineRule="auto"/>
        <w:rPr>
          <w:lang w:val="en-US"/>
        </w:rPr>
      </w:pPr>
      <w:r w:rsidRPr="0096269E">
        <w:rPr>
          <w:i/>
          <w:iCs/>
          <w:lang w:val="en-US"/>
        </w:rPr>
        <w:t>Figure -2</w:t>
      </w:r>
      <w:r>
        <w:rPr>
          <w:lang w:val="en-US"/>
        </w:rPr>
        <w:t xml:space="preserve"> provides a graphical representation of the insights observed.</w:t>
      </w:r>
    </w:p>
    <w:p w14:paraId="384ED787" w14:textId="275D7958" w:rsidR="007E6AAE" w:rsidRDefault="007E6AAE" w:rsidP="00421C60">
      <w:pPr>
        <w:spacing w:after="160" w:line="370" w:lineRule="auto"/>
        <w:rPr>
          <w:lang w:val="en-US"/>
        </w:rPr>
      </w:pPr>
      <w:r w:rsidRPr="007E6AAE">
        <w:rPr>
          <w:lang w:val="en-US"/>
        </w:rPr>
        <w:drawing>
          <wp:inline distT="0" distB="0" distL="0" distR="0" wp14:anchorId="4804E46F" wp14:editId="24164F02">
            <wp:extent cx="5251010" cy="2678546"/>
            <wp:effectExtent l="0" t="0" r="0" b="1270"/>
            <wp:docPr id="2050009217"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09217" name="Picture 1" descr="A graph showing the price of a stock market&#10;&#10;Description automatically generated"/>
                    <pic:cNvPicPr/>
                  </pic:nvPicPr>
                  <pic:blipFill>
                    <a:blip r:embed="rId8"/>
                    <a:stretch>
                      <a:fillRect/>
                    </a:stretch>
                  </pic:blipFill>
                  <pic:spPr>
                    <a:xfrm>
                      <a:off x="0" y="0"/>
                      <a:ext cx="5266633" cy="2686515"/>
                    </a:xfrm>
                    <a:prstGeom prst="rect">
                      <a:avLst/>
                    </a:prstGeom>
                  </pic:spPr>
                </pic:pic>
              </a:graphicData>
            </a:graphic>
          </wp:inline>
        </w:drawing>
      </w:r>
    </w:p>
    <w:p w14:paraId="66DF3EA9" w14:textId="1F3AD8E9" w:rsidR="00421C60" w:rsidRPr="00753392" w:rsidRDefault="00421C60" w:rsidP="00421C60">
      <w:pPr>
        <w:spacing w:after="160" w:line="370" w:lineRule="auto"/>
        <w:jc w:val="center"/>
        <w:rPr>
          <w:b/>
          <w:i/>
          <w:sz w:val="17"/>
          <w:szCs w:val="17"/>
        </w:rPr>
      </w:pPr>
      <w:r>
        <w:rPr>
          <w:b/>
          <w:i/>
          <w:sz w:val="17"/>
          <w:szCs w:val="17"/>
        </w:rPr>
        <w:t xml:space="preserve">Figure </w:t>
      </w:r>
      <w:r>
        <w:rPr>
          <w:b/>
          <w:i/>
          <w:sz w:val="17"/>
          <w:szCs w:val="17"/>
        </w:rPr>
        <w:t>2</w:t>
      </w:r>
      <w:r>
        <w:rPr>
          <w:b/>
          <w:i/>
          <w:sz w:val="17"/>
          <w:szCs w:val="17"/>
        </w:rPr>
        <w:t>—</w:t>
      </w:r>
      <w:r>
        <w:rPr>
          <w:sz w:val="17"/>
          <w:szCs w:val="17"/>
        </w:rPr>
        <w:t xml:space="preserve"> </w:t>
      </w:r>
      <w:r w:rsidR="003233E9">
        <w:rPr>
          <w:sz w:val="17"/>
          <w:szCs w:val="17"/>
        </w:rPr>
        <w:t>Price/SMA shows the periods of over and under valuations</w:t>
      </w:r>
    </w:p>
    <w:p w14:paraId="6B142639" w14:textId="70121F5B" w:rsidR="00753392" w:rsidRPr="00753392" w:rsidRDefault="00753392" w:rsidP="003A354E">
      <w:pPr>
        <w:spacing w:after="160" w:line="370" w:lineRule="auto"/>
        <w:rPr>
          <w:lang w:val="en-US"/>
        </w:rPr>
      </w:pPr>
      <w:r w:rsidRPr="00753392">
        <w:rPr>
          <w:lang w:val="en-US"/>
        </w:rPr>
        <w:t>In conclusion, the </w:t>
      </w:r>
      <w:r w:rsidRPr="00753392">
        <w:rPr>
          <w:b/>
          <w:bCs/>
          <w:lang w:val="en-US"/>
        </w:rPr>
        <w:t>Price to SMA Ratio</w:t>
      </w:r>
      <w:r w:rsidRPr="00753392">
        <w:rPr>
          <w:lang w:val="en-US"/>
        </w:rPr>
        <w:t> provides a clear, systematic way to detect periods of overvaluation and undervaluation, helping traders make informed buy and sell decisions. This indicator is particularly useful in identifying trend reversals, allowing for better-timed entries and exits in the market.</w:t>
      </w:r>
    </w:p>
    <w:p w14:paraId="3BDBB4F6" w14:textId="4D896212" w:rsidR="0010319D" w:rsidRPr="00DA3FBD" w:rsidRDefault="00526B78" w:rsidP="00671258">
      <w:pPr>
        <w:pStyle w:val="Heading2"/>
      </w:pPr>
      <w:r>
        <w:lastRenderedPageBreak/>
        <w:t>2</w:t>
      </w:r>
      <w:r w:rsidR="00DA3FBD" w:rsidRPr="00DA3FBD">
        <w:t>.</w:t>
      </w:r>
      <w:r w:rsidR="00671258">
        <w:t>2.2</w:t>
      </w:r>
      <w:r w:rsidR="00DA3FBD" w:rsidRPr="00DA3FBD">
        <w:t xml:space="preserve"> </w:t>
      </w:r>
      <w:r w:rsidR="00671258">
        <w:t>Bollinger Bands</w:t>
      </w:r>
    </w:p>
    <w:p w14:paraId="1500F1E0" w14:textId="0127EE7C" w:rsidR="00203094" w:rsidRDefault="005708FB" w:rsidP="005708FB">
      <w:r>
        <w:t>It h</w:t>
      </w:r>
      <w:r w:rsidRPr="005708FB">
        <w:t>elps traders identify overbought and oversold conditions by measuring price movements relative to the upper and lower Bollinger Bands. These bands are constructed around a Simple Moving Average (SMA) with the width of the bands determined by the stock’s volatility (standard deviation).</w:t>
      </w:r>
    </w:p>
    <w:p w14:paraId="4F732FCC" w14:textId="4D296E38" w:rsidR="003D5440" w:rsidRPr="003D5440" w:rsidRDefault="001312B3" w:rsidP="003D5440">
      <w:pPr>
        <w:rPr>
          <w:lang w:val="en-US"/>
        </w:rPr>
      </w:pPr>
      <w:r>
        <w:t xml:space="preserve">It indicates </w:t>
      </w:r>
      <w:r w:rsidR="003D5440" w:rsidRPr="003D5440">
        <w:rPr>
          <w:lang w:val="en-US"/>
        </w:rPr>
        <w:t>whether the stock is trading above or below the Bollinger Bands, helping to identify potential buying and selling opportunities.</w:t>
      </w:r>
    </w:p>
    <w:p w14:paraId="10FD74FC" w14:textId="77777777" w:rsidR="003D5440" w:rsidRPr="003D5440" w:rsidRDefault="003D5440" w:rsidP="003D5440">
      <w:pPr>
        <w:rPr>
          <w:b/>
          <w:bCs/>
          <w:lang w:val="en-US"/>
        </w:rPr>
      </w:pPr>
      <w:r w:rsidRPr="003D5440">
        <w:rPr>
          <w:b/>
          <w:bCs/>
          <w:lang w:val="en-US"/>
        </w:rPr>
        <w:t>Buy and Sell Signals:</w:t>
      </w:r>
    </w:p>
    <w:p w14:paraId="667DB326" w14:textId="77777777" w:rsidR="003D5440" w:rsidRPr="003D5440" w:rsidRDefault="003D5440" w:rsidP="003D5440">
      <w:pPr>
        <w:numPr>
          <w:ilvl w:val="0"/>
          <w:numId w:val="8"/>
        </w:numPr>
        <w:rPr>
          <w:lang w:val="en-US"/>
        </w:rPr>
      </w:pPr>
      <w:r w:rsidRPr="003D5440">
        <w:rPr>
          <w:b/>
          <w:bCs/>
          <w:lang w:val="en-US"/>
        </w:rPr>
        <w:t>Buy Signal</w:t>
      </w:r>
      <w:r w:rsidRPr="003D5440">
        <w:rPr>
          <w:lang w:val="en-US"/>
        </w:rPr>
        <w:t>: When the %B value falls below 0, the stock price is below the lower Bollinger Band, indicating that the stock is oversold. This can be interpreted as a potential buying opportunity. For example, in late 2008, the %B value frequently dips below 0, signaling that the stock is oversold during the financial crisis.</w:t>
      </w:r>
    </w:p>
    <w:p w14:paraId="7F4E9D34" w14:textId="77777777" w:rsidR="003D5440" w:rsidRDefault="003D5440" w:rsidP="003D5440">
      <w:pPr>
        <w:numPr>
          <w:ilvl w:val="0"/>
          <w:numId w:val="8"/>
        </w:numPr>
        <w:rPr>
          <w:lang w:val="en-US"/>
        </w:rPr>
      </w:pPr>
      <w:r w:rsidRPr="003D5440">
        <w:rPr>
          <w:b/>
          <w:bCs/>
          <w:lang w:val="en-US"/>
        </w:rPr>
        <w:t>Sell Signal</w:t>
      </w:r>
      <w:r w:rsidRPr="003D5440">
        <w:rPr>
          <w:lang w:val="en-US"/>
        </w:rPr>
        <w:t>: When the %B value exceeds 1, the stock price is above the upper Bollinger Band, indicating that the stock is overbought. This signals a potential sell opportunity. In early 2009, the %B value rises above 1, suggesting overbought conditions as the market begins to recover.</w:t>
      </w:r>
    </w:p>
    <w:p w14:paraId="32F7ACD3" w14:textId="6452EC3D" w:rsidR="00B6104A" w:rsidRPr="00E024CF" w:rsidRDefault="00E024CF" w:rsidP="00B6104A">
      <w:pPr>
        <w:rPr>
          <w:lang w:val="en-US"/>
        </w:rPr>
      </w:pPr>
      <w:r>
        <w:rPr>
          <w:lang w:val="en-US"/>
        </w:rPr>
        <w:t>F</w:t>
      </w:r>
      <w:r w:rsidR="00B6104A">
        <w:rPr>
          <w:i/>
          <w:iCs/>
          <w:lang w:val="en-US"/>
        </w:rPr>
        <w:t>igure -</w:t>
      </w:r>
      <w:r w:rsidR="00DB4DDC">
        <w:rPr>
          <w:i/>
          <w:iCs/>
          <w:lang w:val="en-US"/>
        </w:rPr>
        <w:t>3</w:t>
      </w:r>
      <w:r>
        <w:rPr>
          <w:i/>
          <w:iCs/>
          <w:lang w:val="en-US"/>
        </w:rPr>
        <w:t xml:space="preserve"> </w:t>
      </w:r>
      <w:r>
        <w:rPr>
          <w:lang w:val="en-US"/>
        </w:rPr>
        <w:t>confirms this behavior.</w:t>
      </w:r>
    </w:p>
    <w:p w14:paraId="11EB074F" w14:textId="1B72CF09" w:rsidR="00F25DD1" w:rsidRDefault="00F25DD1" w:rsidP="00F25DD1">
      <w:pPr>
        <w:jc w:val="center"/>
        <w:rPr>
          <w:i/>
          <w:iCs/>
          <w:lang w:val="en-US"/>
        </w:rPr>
      </w:pPr>
      <w:r w:rsidRPr="00F25DD1">
        <w:rPr>
          <w:i/>
          <w:iCs/>
          <w:lang w:val="en-US"/>
        </w:rPr>
        <w:drawing>
          <wp:inline distT="0" distB="0" distL="0" distR="0" wp14:anchorId="1E7D497D" wp14:editId="039E92F9">
            <wp:extent cx="5029200" cy="2596515"/>
            <wp:effectExtent l="0" t="0" r="0" b="0"/>
            <wp:docPr id="1553276537"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76537" name="Picture 1" descr="A graph showing a line graph&#10;&#10;Description automatically generated with medium confidence"/>
                    <pic:cNvPicPr/>
                  </pic:nvPicPr>
                  <pic:blipFill>
                    <a:blip r:embed="rId9"/>
                    <a:stretch>
                      <a:fillRect/>
                    </a:stretch>
                  </pic:blipFill>
                  <pic:spPr>
                    <a:xfrm>
                      <a:off x="0" y="0"/>
                      <a:ext cx="5029200" cy="2596515"/>
                    </a:xfrm>
                    <a:prstGeom prst="rect">
                      <a:avLst/>
                    </a:prstGeom>
                  </pic:spPr>
                </pic:pic>
              </a:graphicData>
            </a:graphic>
          </wp:inline>
        </w:drawing>
      </w:r>
    </w:p>
    <w:p w14:paraId="1235165E" w14:textId="5F98549E" w:rsidR="005235E3" w:rsidRPr="003D5440" w:rsidRDefault="005235E3" w:rsidP="005235E3">
      <w:pPr>
        <w:spacing w:after="160" w:line="370" w:lineRule="auto"/>
        <w:jc w:val="center"/>
        <w:rPr>
          <w:b/>
          <w:i/>
          <w:sz w:val="17"/>
          <w:szCs w:val="17"/>
        </w:rPr>
      </w:pPr>
      <w:r>
        <w:rPr>
          <w:b/>
          <w:i/>
          <w:sz w:val="17"/>
          <w:szCs w:val="17"/>
        </w:rPr>
        <w:lastRenderedPageBreak/>
        <w:t xml:space="preserve">Figure </w:t>
      </w:r>
      <w:r>
        <w:rPr>
          <w:b/>
          <w:i/>
          <w:sz w:val="17"/>
          <w:szCs w:val="17"/>
        </w:rPr>
        <w:t>3</w:t>
      </w:r>
      <w:r>
        <w:rPr>
          <w:b/>
          <w:i/>
          <w:sz w:val="17"/>
          <w:szCs w:val="17"/>
        </w:rPr>
        <w:t>—</w:t>
      </w:r>
      <w:r>
        <w:rPr>
          <w:sz w:val="17"/>
          <w:szCs w:val="17"/>
        </w:rPr>
        <w:t xml:space="preserve"> </w:t>
      </w:r>
      <w:r>
        <w:rPr>
          <w:sz w:val="17"/>
          <w:szCs w:val="17"/>
        </w:rPr>
        <w:t>%B indicates oversold and overbought periods of a stock</w:t>
      </w:r>
    </w:p>
    <w:p w14:paraId="05F1E362" w14:textId="77777777" w:rsidR="003D5440" w:rsidRPr="003D5440" w:rsidRDefault="003D5440" w:rsidP="003D5440">
      <w:pPr>
        <w:rPr>
          <w:b/>
          <w:bCs/>
          <w:lang w:val="en-US"/>
        </w:rPr>
      </w:pPr>
      <w:r w:rsidRPr="003D5440">
        <w:rPr>
          <w:b/>
          <w:bCs/>
          <w:lang w:val="en-US"/>
        </w:rPr>
        <w:t>Observations:</w:t>
      </w:r>
    </w:p>
    <w:p w14:paraId="2BACD416" w14:textId="611BDFEE" w:rsidR="003D5440" w:rsidRPr="003D5440" w:rsidRDefault="003D5440" w:rsidP="003D5440">
      <w:pPr>
        <w:numPr>
          <w:ilvl w:val="0"/>
          <w:numId w:val="9"/>
        </w:numPr>
        <w:rPr>
          <w:lang w:val="en-US"/>
        </w:rPr>
      </w:pPr>
      <w:r w:rsidRPr="003D5440">
        <w:rPr>
          <w:b/>
          <w:bCs/>
          <w:lang w:val="en-US"/>
        </w:rPr>
        <w:t>Late 2008</w:t>
      </w:r>
      <w:r w:rsidRPr="003D5440">
        <w:rPr>
          <w:lang w:val="en-US"/>
        </w:rPr>
        <w:t>: The %B value frequently dips below 0, indicating oversold conditions and potential buy signals</w:t>
      </w:r>
      <w:r w:rsidR="0038162B">
        <w:rPr>
          <w:lang w:val="en-US"/>
        </w:rPr>
        <w:t>.</w:t>
      </w:r>
    </w:p>
    <w:p w14:paraId="20510D49" w14:textId="14E5535D" w:rsidR="003D5440" w:rsidRPr="003D5440" w:rsidRDefault="003D5440" w:rsidP="003D5440">
      <w:pPr>
        <w:numPr>
          <w:ilvl w:val="0"/>
          <w:numId w:val="9"/>
        </w:numPr>
        <w:rPr>
          <w:lang w:val="en-US"/>
        </w:rPr>
      </w:pPr>
      <w:r w:rsidRPr="003D5440">
        <w:rPr>
          <w:b/>
          <w:bCs/>
          <w:lang w:val="en-US"/>
        </w:rPr>
        <w:t>Early 2009</w:t>
      </w:r>
      <w:r w:rsidRPr="003D5440">
        <w:rPr>
          <w:lang w:val="en-US"/>
        </w:rPr>
        <w:t>: The %B value rises above 1, indicating overbought conditions and potential sell signals</w:t>
      </w:r>
      <w:r w:rsidR="00181F53">
        <w:rPr>
          <w:lang w:val="en-US"/>
        </w:rPr>
        <w:t>.</w:t>
      </w:r>
    </w:p>
    <w:p w14:paraId="1FD608C1" w14:textId="64DC2F26" w:rsidR="003D5440" w:rsidRDefault="003D5440" w:rsidP="005708FB">
      <w:pPr>
        <w:rPr>
          <w:lang w:val="en-US"/>
        </w:rPr>
      </w:pPr>
      <w:r w:rsidRPr="003D5440">
        <w:rPr>
          <w:lang w:val="en-US"/>
        </w:rPr>
        <w:t>In summary, the </w:t>
      </w:r>
      <w:r w:rsidRPr="003D5440">
        <w:rPr>
          <w:b/>
          <w:bCs/>
          <w:lang w:val="en-US"/>
        </w:rPr>
        <w:t>Bollinger Bands %B</w:t>
      </w:r>
      <w:r w:rsidRPr="003D5440">
        <w:rPr>
          <w:lang w:val="en-US"/>
        </w:rPr>
        <w:t xml:space="preserve"> is a valuable tool for identifying price extremes. </w:t>
      </w:r>
      <w:r w:rsidR="00A05084">
        <w:rPr>
          <w:lang w:val="en-US"/>
        </w:rPr>
        <w:t>It helps in</w:t>
      </w:r>
      <w:r w:rsidRPr="003D5440">
        <w:rPr>
          <w:lang w:val="en-US"/>
        </w:rPr>
        <w:t xml:space="preserve"> capturing buy opportunities in oversold markets and sell opportunities in overbought conditions</w:t>
      </w:r>
      <w:r w:rsidR="00A05084">
        <w:rPr>
          <w:lang w:val="en-US"/>
        </w:rPr>
        <w:t>.</w:t>
      </w:r>
    </w:p>
    <w:p w14:paraId="44F15D59" w14:textId="2370F605" w:rsidR="009533CF" w:rsidRDefault="00AA7A80" w:rsidP="009533CF">
      <w:pPr>
        <w:pStyle w:val="Heading2"/>
      </w:pPr>
      <w:r>
        <w:t>2</w:t>
      </w:r>
      <w:r w:rsidR="009533CF" w:rsidRPr="00DA3FBD">
        <w:t>.</w:t>
      </w:r>
      <w:r w:rsidR="009533CF">
        <w:t>2.</w:t>
      </w:r>
      <w:r w:rsidR="009533CF">
        <w:t>3</w:t>
      </w:r>
      <w:r w:rsidR="00222B01">
        <w:t xml:space="preserve"> Momentum</w:t>
      </w:r>
    </w:p>
    <w:p w14:paraId="7178B1DF" w14:textId="34C39FBF" w:rsidR="00634178" w:rsidRDefault="00836BC9" w:rsidP="00634178">
      <w:pPr>
        <w:jc w:val="left"/>
      </w:pPr>
      <w:r>
        <w:t xml:space="preserve">The </w:t>
      </w:r>
      <w:r w:rsidRPr="00836BC9">
        <w:rPr>
          <w:b/>
          <w:bCs/>
        </w:rPr>
        <w:t>Momentum Indicator</w:t>
      </w:r>
      <w:r w:rsidRPr="00836BC9">
        <w:t> is a technical analysis tool that is used to identify shifts in market trends by evaluating the strength of a stock's upward or downward movement. This indicator helps in recognizing buy and sell signals based on the direction and intensity of the momentum</w:t>
      </w:r>
      <w:r>
        <w:t>.</w:t>
      </w:r>
    </w:p>
    <w:p w14:paraId="0387F16A" w14:textId="2792DE7A" w:rsidR="003F057E" w:rsidRDefault="003F057E" w:rsidP="00634178">
      <w:pPr>
        <w:jc w:val="left"/>
      </w:pPr>
      <w:r w:rsidRPr="003F057E">
        <w:t>The Momentum Indicator is calculated using the formula</w:t>
      </w:r>
      <w:r>
        <w:t>:</w:t>
      </w:r>
    </w:p>
    <w:p w14:paraId="36BE7D67" w14:textId="40475AE3" w:rsidR="003F057E" w:rsidRPr="003F057E" w:rsidRDefault="003F057E" w:rsidP="00634178">
      <w:pPr>
        <w:jc w:val="left"/>
      </w:pPr>
      <m:oMathPara>
        <m:oMath>
          <m:r>
            <w:rPr>
              <w:rFonts w:ascii="Cambria Math" w:hAnsi="Cambria Math"/>
            </w:rPr>
            <m:t>M=</m:t>
          </m:r>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t</m:t>
                  </m:r>
                </m:sub>
              </m:sSub>
              <m:ctrlPr>
                <w:rPr>
                  <w:rFonts w:ascii="Cambria Math" w:hAnsi="Cambria Math"/>
                  <w:i/>
                </w:rPr>
              </m:ctrlPr>
            </m:num>
            <m:den>
              <m:sSub>
                <m:sSubPr>
                  <m:ctrlPr>
                    <w:rPr>
                      <w:rFonts w:ascii="Cambria Math" w:hAnsi="Cambria Math"/>
                      <w:i/>
                    </w:rPr>
                  </m:ctrlPr>
                </m:sSubPr>
                <m:e>
                  <m:r>
                    <w:rPr>
                      <w:rFonts w:ascii="Cambria Math" w:hAnsi="Cambria Math"/>
                    </w:rPr>
                    <m:t>P</m:t>
                  </m:r>
                </m:e>
                <m:sub>
                  <m:r>
                    <w:rPr>
                      <w:rFonts w:ascii="Cambria Math" w:hAnsi="Cambria Math"/>
                    </w:rPr>
                    <m:t>t-w</m:t>
                  </m:r>
                </m:sub>
              </m:sSub>
              <m:ctrlPr>
                <w:rPr>
                  <w:rFonts w:ascii="Cambria Math" w:hAnsi="Cambria Math"/>
                  <w:i/>
                </w:rPr>
              </m:ctrlPr>
            </m:den>
          </m:f>
          <m:r>
            <w:rPr>
              <w:rFonts w:ascii="Cambria Math" w:hAnsi="Cambria Math"/>
            </w:rPr>
            <m:t>-1</m:t>
          </m:r>
        </m:oMath>
      </m:oMathPara>
    </w:p>
    <w:p w14:paraId="19175694" w14:textId="2EF9207B" w:rsidR="003F057E" w:rsidRDefault="003F057E" w:rsidP="003F057E">
      <w:pPr>
        <w:pStyle w:val="ListParagraph"/>
        <w:numPr>
          <w:ilvl w:val="0"/>
          <w:numId w:val="11"/>
        </w:numPr>
        <w:jc w:val="left"/>
      </w:pPr>
      <w:proofErr w:type="gramStart"/>
      <w:r>
        <w:rPr>
          <w:i/>
          <w:iCs/>
        </w:rPr>
        <w:t>P</w:t>
      </w:r>
      <w:r>
        <w:rPr>
          <w:i/>
          <w:iCs/>
          <w:vertAlign w:val="subscript"/>
        </w:rPr>
        <w:t>t</w:t>
      </w:r>
      <w:r>
        <w:rPr>
          <w:vertAlign w:val="subscript"/>
        </w:rPr>
        <w:t xml:space="preserve"> </w:t>
      </w:r>
      <w:r>
        <w:t>:</w:t>
      </w:r>
      <w:proofErr w:type="gramEnd"/>
      <w:r>
        <w:t xml:space="preserve"> </w:t>
      </w:r>
      <w:r w:rsidRPr="003F057E">
        <w:t>Current Price</w:t>
      </w:r>
    </w:p>
    <w:p w14:paraId="44717C01" w14:textId="79AC7ECA" w:rsidR="003F057E" w:rsidRDefault="003F057E" w:rsidP="003F057E">
      <w:pPr>
        <w:pStyle w:val="ListParagraph"/>
        <w:numPr>
          <w:ilvl w:val="0"/>
          <w:numId w:val="11"/>
        </w:numPr>
        <w:jc w:val="left"/>
      </w:pPr>
      <w:r>
        <w:rPr>
          <w:i/>
          <w:iCs/>
        </w:rPr>
        <w:t>P</w:t>
      </w:r>
      <w:r>
        <w:rPr>
          <w:i/>
          <w:iCs/>
          <w:vertAlign w:val="subscript"/>
        </w:rPr>
        <w:t xml:space="preserve">t – </w:t>
      </w:r>
      <w:proofErr w:type="gramStart"/>
      <w:r>
        <w:rPr>
          <w:i/>
          <w:iCs/>
          <w:vertAlign w:val="subscript"/>
        </w:rPr>
        <w:t xml:space="preserve">w </w:t>
      </w:r>
      <w:r>
        <w:rPr>
          <w:i/>
          <w:iCs/>
        </w:rPr>
        <w:t>:</w:t>
      </w:r>
      <w:proofErr w:type="gramEnd"/>
      <w:r>
        <w:rPr>
          <w:i/>
          <w:iCs/>
        </w:rPr>
        <w:t xml:space="preserve"> </w:t>
      </w:r>
      <w:r w:rsidRPr="003F057E">
        <w:t>Previous Price over a specified window period</w:t>
      </w:r>
      <w:r w:rsidR="00F577CD">
        <w:t xml:space="preserve"> – 12 days.</w:t>
      </w:r>
    </w:p>
    <w:p w14:paraId="336ED0C7" w14:textId="3FB2ADEF" w:rsidR="00A011F0" w:rsidRPr="00A011F0" w:rsidRDefault="00C454C6" w:rsidP="00A011F0">
      <w:pPr>
        <w:jc w:val="left"/>
        <w:rPr>
          <w:lang w:val="en-US"/>
        </w:rPr>
      </w:pPr>
      <w:r>
        <w:t>This</w:t>
      </w:r>
      <w:r w:rsidR="00A011F0" w:rsidRPr="00A011F0">
        <w:rPr>
          <w:lang w:val="en-US"/>
        </w:rPr>
        <w:t xml:space="preserve"> calculates the relative price change over a given window (e.g., 12 periods), with positive values indicating upward momentum and negative values indicating downward momentum.</w:t>
      </w:r>
    </w:p>
    <w:p w14:paraId="3D4C2D26" w14:textId="77777777" w:rsidR="00A011F0" w:rsidRPr="00A011F0" w:rsidRDefault="00A011F0" w:rsidP="00A011F0">
      <w:pPr>
        <w:jc w:val="left"/>
        <w:rPr>
          <w:b/>
          <w:bCs/>
          <w:lang w:val="en-US"/>
        </w:rPr>
      </w:pPr>
      <w:r w:rsidRPr="00A011F0">
        <w:rPr>
          <w:b/>
          <w:bCs/>
          <w:lang w:val="en-US"/>
        </w:rPr>
        <w:t>Buy and Sell Signals:</w:t>
      </w:r>
    </w:p>
    <w:p w14:paraId="2E6CCFE4" w14:textId="0BF0DFC1" w:rsidR="00A011F0" w:rsidRPr="00A011F0" w:rsidRDefault="00A011F0" w:rsidP="00A011F0">
      <w:pPr>
        <w:numPr>
          <w:ilvl w:val="0"/>
          <w:numId w:val="12"/>
        </w:numPr>
        <w:jc w:val="left"/>
        <w:rPr>
          <w:lang w:val="en-US"/>
        </w:rPr>
      </w:pPr>
      <w:r w:rsidRPr="00A011F0">
        <w:rPr>
          <w:b/>
          <w:bCs/>
          <w:lang w:val="en-US"/>
        </w:rPr>
        <w:t>Buy Signal</w:t>
      </w:r>
      <w:r w:rsidRPr="00A011F0">
        <w:rPr>
          <w:lang w:val="en-US"/>
        </w:rPr>
        <w:t>: Positive momentum indicates that the stock is gaining upward strength, signaling a potential buy opportunity. For example, in early 2009, the momentum indicator shows a sharp rise, suggesting an increase in buying pressure as the market rebounds.</w:t>
      </w:r>
    </w:p>
    <w:p w14:paraId="1F702370" w14:textId="77777777" w:rsidR="00A011F0" w:rsidRDefault="00A011F0" w:rsidP="00A011F0">
      <w:pPr>
        <w:numPr>
          <w:ilvl w:val="0"/>
          <w:numId w:val="12"/>
        </w:numPr>
        <w:jc w:val="left"/>
        <w:rPr>
          <w:lang w:val="en-US"/>
        </w:rPr>
      </w:pPr>
      <w:r w:rsidRPr="00A011F0">
        <w:rPr>
          <w:b/>
          <w:bCs/>
          <w:lang w:val="en-US"/>
        </w:rPr>
        <w:lastRenderedPageBreak/>
        <w:t>Sell Signal</w:t>
      </w:r>
      <w:r w:rsidRPr="00A011F0">
        <w:rPr>
          <w:lang w:val="en-US"/>
        </w:rPr>
        <w:t>: When momentum crosses below the zero line, it signals weakening strength or downward pressure, indicating a potential sell signal. This can be observed in late 2008, where momentum turned sharply negative during the market crash, signaling potential exits.</w:t>
      </w:r>
    </w:p>
    <w:p w14:paraId="0F01D0B8" w14:textId="6431ECE2" w:rsidR="0008098C" w:rsidRPr="002E60D7" w:rsidRDefault="0008098C" w:rsidP="0008098C">
      <w:pPr>
        <w:jc w:val="left"/>
        <w:rPr>
          <w:lang w:val="en-US"/>
        </w:rPr>
      </w:pPr>
      <w:r>
        <w:rPr>
          <w:lang w:val="en-US"/>
        </w:rPr>
        <w:t xml:space="preserve">This behavior is reflected in the </w:t>
      </w:r>
      <w:r>
        <w:rPr>
          <w:i/>
          <w:iCs/>
          <w:lang w:val="en-US"/>
        </w:rPr>
        <w:t>figure-4</w:t>
      </w:r>
      <w:r w:rsidR="002E60D7">
        <w:rPr>
          <w:i/>
          <w:iCs/>
          <w:lang w:val="en-US"/>
        </w:rPr>
        <w:t xml:space="preserve"> </w:t>
      </w:r>
      <w:r w:rsidR="002E60D7">
        <w:rPr>
          <w:lang w:val="en-US"/>
        </w:rPr>
        <w:t>which shows momentum of “JPM” stock during the 2008 – 2009 years.</w:t>
      </w:r>
    </w:p>
    <w:p w14:paraId="0D68B270" w14:textId="23AF014E" w:rsidR="002E60D7" w:rsidRDefault="002E60D7" w:rsidP="0008098C">
      <w:pPr>
        <w:jc w:val="left"/>
        <w:rPr>
          <w:i/>
          <w:iCs/>
          <w:lang w:val="en-US"/>
        </w:rPr>
      </w:pPr>
      <w:r w:rsidRPr="002E60D7">
        <w:rPr>
          <w:i/>
          <w:iCs/>
          <w:lang w:val="en-US"/>
        </w:rPr>
        <w:drawing>
          <wp:inline distT="0" distB="0" distL="0" distR="0" wp14:anchorId="0BD1E442" wp14:editId="7A75D44F">
            <wp:extent cx="5029200" cy="2668905"/>
            <wp:effectExtent l="0" t="0" r="0" b="0"/>
            <wp:docPr id="999026750" name="Picture 1"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26750" name="Picture 1" descr="A graph showing a graph of a graph&#10;&#10;Description automatically generated with medium confidence"/>
                    <pic:cNvPicPr/>
                  </pic:nvPicPr>
                  <pic:blipFill>
                    <a:blip r:embed="rId10"/>
                    <a:stretch>
                      <a:fillRect/>
                    </a:stretch>
                  </pic:blipFill>
                  <pic:spPr>
                    <a:xfrm>
                      <a:off x="0" y="0"/>
                      <a:ext cx="5029200" cy="2668905"/>
                    </a:xfrm>
                    <a:prstGeom prst="rect">
                      <a:avLst/>
                    </a:prstGeom>
                  </pic:spPr>
                </pic:pic>
              </a:graphicData>
            </a:graphic>
          </wp:inline>
        </w:drawing>
      </w:r>
    </w:p>
    <w:p w14:paraId="42D008C1" w14:textId="1407901A" w:rsidR="00826329" w:rsidRPr="00A011F0" w:rsidRDefault="00826329" w:rsidP="00826329">
      <w:pPr>
        <w:ind w:firstLine="720"/>
        <w:jc w:val="center"/>
      </w:pPr>
      <w:r w:rsidRPr="001D35BD">
        <w:rPr>
          <w:b/>
          <w:bCs/>
          <w:i/>
          <w:sz w:val="17"/>
          <w:szCs w:val="17"/>
        </w:rPr>
        <w:t xml:space="preserve">Figure </w:t>
      </w:r>
      <w:r>
        <w:rPr>
          <w:b/>
          <w:bCs/>
          <w:i/>
          <w:sz w:val="17"/>
          <w:szCs w:val="17"/>
        </w:rPr>
        <w:t>4</w:t>
      </w:r>
      <w:r>
        <w:rPr>
          <w:i/>
          <w:sz w:val="17"/>
          <w:szCs w:val="17"/>
        </w:rPr>
        <w:t>—</w:t>
      </w:r>
      <w:r>
        <w:rPr>
          <w:sz w:val="17"/>
          <w:szCs w:val="17"/>
        </w:rPr>
        <w:t xml:space="preserve"> </w:t>
      </w:r>
      <w:r w:rsidR="00AB6D32">
        <w:rPr>
          <w:bCs/>
          <w:sz w:val="17"/>
          <w:szCs w:val="17"/>
        </w:rPr>
        <w:t>Momentum of JPM stock during 2008 to 2009 years</w:t>
      </w:r>
      <w:r w:rsidR="007A6ED1">
        <w:rPr>
          <w:bCs/>
          <w:sz w:val="17"/>
          <w:szCs w:val="17"/>
        </w:rPr>
        <w:t>.</w:t>
      </w:r>
    </w:p>
    <w:p w14:paraId="17B8C9CD" w14:textId="77777777" w:rsidR="003D5601" w:rsidRDefault="00411B7F" w:rsidP="005E0AEF">
      <w:pPr>
        <w:rPr>
          <w:b/>
          <w:bCs/>
          <w:i/>
          <w:sz w:val="17"/>
          <w:szCs w:val="17"/>
        </w:rPr>
      </w:pPr>
      <w:r w:rsidRPr="00411B7F">
        <w:rPr>
          <w:lang w:val="en-US"/>
        </w:rPr>
        <w:t>In sum</w:t>
      </w:r>
      <w:r w:rsidR="00D028E0">
        <w:rPr>
          <w:lang w:val="en-US"/>
        </w:rPr>
        <w:t xml:space="preserve">mary, </w:t>
      </w:r>
      <w:proofErr w:type="spellStart"/>
      <w:r w:rsidR="00D028E0">
        <w:rPr>
          <w:lang w:val="en-US"/>
        </w:rPr>
        <w:t>t</w:t>
      </w:r>
      <w:r w:rsidR="00D028E0" w:rsidRPr="00D028E0">
        <w:t>he</w:t>
      </w:r>
      <w:proofErr w:type="spellEnd"/>
      <w:r w:rsidR="00D028E0" w:rsidRPr="00D028E0">
        <w:t xml:space="preserve"> Momentum Indicator reflects market volatility during the 2008-2009 period. It captures both the significant downturn during the 2008 financial crisis (negative momentum) and the subsequent recovery in early 2009 (positive momentum)</w:t>
      </w:r>
      <w:r w:rsidR="00D028E0">
        <w:rPr>
          <w:lang w:val="en-US"/>
        </w:rPr>
        <w:t>.</w:t>
      </w:r>
    </w:p>
    <w:p w14:paraId="5DEDB691" w14:textId="4E2C8139" w:rsidR="003D5B42" w:rsidRDefault="006145CB" w:rsidP="00D64CC3">
      <w:pPr>
        <w:pStyle w:val="Heading2"/>
      </w:pPr>
      <w:r>
        <w:t>2</w:t>
      </w:r>
      <w:r w:rsidR="00D64CC3" w:rsidRPr="00DA3FBD">
        <w:t>.</w:t>
      </w:r>
      <w:r w:rsidR="00D64CC3">
        <w:t>2.</w:t>
      </w:r>
      <w:r w:rsidR="00D64CC3">
        <w:t>4</w:t>
      </w:r>
      <w:r w:rsidR="00D64CC3">
        <w:t xml:space="preserve"> </w:t>
      </w:r>
      <w:r w:rsidR="00D64CC3">
        <w:t>Percentage Price Oscillator</w:t>
      </w:r>
    </w:p>
    <w:p w14:paraId="41499F42" w14:textId="10FE519A" w:rsidR="004E25C9" w:rsidRDefault="002230B9" w:rsidP="002230B9">
      <w:r w:rsidRPr="002230B9">
        <w:t>The </w:t>
      </w:r>
      <w:r w:rsidRPr="002230B9">
        <w:rPr>
          <w:b/>
          <w:bCs/>
        </w:rPr>
        <w:t>Percentage Price Oscillator (PPO)</w:t>
      </w:r>
      <w:r w:rsidRPr="002230B9">
        <w:t> is a momentum indicator that measures the percentage difference between two Exponential Moving Averages (EMAs) of varying periods. It is used to identify trends by examining the crossover between the shorter-term and longer-term EMA</w:t>
      </w:r>
      <w:r w:rsidR="004B309B">
        <w:t>s.</w:t>
      </w:r>
    </w:p>
    <w:p w14:paraId="07AFD377" w14:textId="7B592CBC" w:rsidR="004E25C9" w:rsidRDefault="004E25C9" w:rsidP="004E25C9">
      <w:pPr>
        <w:jc w:val="left"/>
      </w:pPr>
      <w:r>
        <w:t>It is calculated using the formula:</w:t>
      </w:r>
    </w:p>
    <w:p w14:paraId="17E5EAA2" w14:textId="078525FF" w:rsidR="004E25C9" w:rsidRPr="004E25C9" w:rsidRDefault="004E25C9" w:rsidP="004E25C9">
      <w:pPr>
        <w:jc w:val="left"/>
      </w:pPr>
      <m:oMathPara>
        <m:oMath>
          <m:r>
            <m:rPr>
              <m:nor/>
            </m:rPr>
            <w:rPr>
              <w:rFonts w:ascii="Cambria Math" w:hAnsi="Cambria Math"/>
            </w:rPr>
            <w:lastRenderedPageBreak/>
            <m:t>PPO</m:t>
          </m:r>
          <m: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m:rPr>
                          <m:nor/>
                        </m:rPr>
                        <w:rPr>
                          <w:rFonts w:ascii="Cambria Math" w:hAnsi="Cambria Math"/>
                        </w:rPr>
                        <m:t>EMA</m:t>
                      </m:r>
                    </m:e>
                    <m:sub>
                      <m:r>
                        <m:rPr>
                          <m:nor/>
                        </m:rPr>
                        <w:rPr>
                          <w:rFonts w:ascii="Cambria Math" w:hAnsi="Cambria Math"/>
                        </w:rPr>
                        <m:t>Short</m:t>
                      </m:r>
                    </m:sub>
                  </m:sSub>
                  <m:r>
                    <w:rPr>
                      <w:rFonts w:ascii="Cambria Math" w:hAnsi="Cambria Math"/>
                    </w:rPr>
                    <m:t>-</m:t>
                  </m:r>
                  <m:sSub>
                    <m:sSubPr>
                      <m:ctrlPr>
                        <w:rPr>
                          <w:rFonts w:ascii="Cambria Math" w:hAnsi="Cambria Math"/>
                          <w:i/>
                        </w:rPr>
                      </m:ctrlPr>
                    </m:sSubPr>
                    <m:e>
                      <m:r>
                        <m:rPr>
                          <m:nor/>
                        </m:rPr>
                        <w:rPr>
                          <w:rFonts w:ascii="Cambria Math" w:hAnsi="Cambria Math"/>
                        </w:rPr>
                        <m:t>EMA</m:t>
                      </m:r>
                    </m:e>
                    <m:sub>
                      <m:r>
                        <m:rPr>
                          <m:nor/>
                        </m:rPr>
                        <w:rPr>
                          <w:rFonts w:ascii="Cambria Math" w:hAnsi="Cambria Math"/>
                        </w:rPr>
                        <m:t>Long</m:t>
                      </m:r>
                    </m:sub>
                  </m:sSub>
                  <m:ctrlPr>
                    <w:rPr>
                      <w:rFonts w:ascii="Cambria Math" w:hAnsi="Cambria Math"/>
                      <w:i/>
                    </w:rPr>
                  </m:ctrlPr>
                </m:num>
                <m:den>
                  <m:sSub>
                    <m:sSubPr>
                      <m:ctrlPr>
                        <w:rPr>
                          <w:rFonts w:ascii="Cambria Math" w:hAnsi="Cambria Math"/>
                          <w:i/>
                        </w:rPr>
                      </m:ctrlPr>
                    </m:sSubPr>
                    <m:e>
                      <m:r>
                        <m:rPr>
                          <m:nor/>
                        </m:rPr>
                        <w:rPr>
                          <w:rFonts w:ascii="Cambria Math" w:hAnsi="Cambria Math"/>
                        </w:rPr>
                        <m:t>EMA</m:t>
                      </m:r>
                    </m:e>
                    <m:sub>
                      <m:r>
                        <m:rPr>
                          <m:nor/>
                        </m:rPr>
                        <w:rPr>
                          <w:rFonts w:ascii="Cambria Math" w:hAnsi="Cambria Math"/>
                        </w:rPr>
                        <m:t>Long</m:t>
                      </m:r>
                    </m:sub>
                  </m:sSub>
                  <m:ctrlPr>
                    <w:rPr>
                      <w:rFonts w:ascii="Cambria Math" w:hAnsi="Cambria Math"/>
                      <w:i/>
                    </w:rPr>
                  </m:ctrlPr>
                </m:den>
              </m:f>
              <m:ctrlPr>
                <w:rPr>
                  <w:rFonts w:ascii="Cambria Math" w:hAnsi="Cambria Math"/>
                  <w:i/>
                </w:rPr>
              </m:ctrlPr>
            </m:e>
          </m:d>
          <m:r>
            <m:rPr>
              <m:sty m:val="p"/>
            </m:rPr>
            <w:rPr>
              <w:rFonts w:ascii="Cambria Math" w:hAnsi="Cambria Math"/>
            </w:rPr>
            <m:t>×</m:t>
          </m:r>
          <m:r>
            <w:rPr>
              <w:rFonts w:ascii="Cambria Math" w:hAnsi="Cambria Math"/>
            </w:rPr>
            <m:t>100</m:t>
          </m:r>
        </m:oMath>
      </m:oMathPara>
    </w:p>
    <w:p w14:paraId="17C23653" w14:textId="3F69FE93" w:rsidR="004E25C9" w:rsidRPr="004E25C9" w:rsidRDefault="001A39D0" w:rsidP="004E25C9">
      <w:pPr>
        <w:jc w:val="left"/>
        <w:rPr>
          <w:b/>
          <w:bCs/>
          <w:lang w:val="en-US"/>
        </w:rPr>
      </w:pPr>
      <w:r>
        <w:t>Buy</w:t>
      </w:r>
      <w:r w:rsidR="004E25C9" w:rsidRPr="004E25C9">
        <w:rPr>
          <w:b/>
          <w:bCs/>
          <w:lang w:val="en-US"/>
        </w:rPr>
        <w:t xml:space="preserve"> and Sell Signals:</w:t>
      </w:r>
    </w:p>
    <w:p w14:paraId="10AACD05" w14:textId="5EEF9FCF" w:rsidR="004E25C9" w:rsidRDefault="004E25C9" w:rsidP="004E25C9">
      <w:pPr>
        <w:numPr>
          <w:ilvl w:val="0"/>
          <w:numId w:val="14"/>
        </w:numPr>
        <w:jc w:val="left"/>
        <w:rPr>
          <w:lang w:val="en-US"/>
        </w:rPr>
      </w:pPr>
      <w:r w:rsidRPr="004E25C9">
        <w:rPr>
          <w:b/>
          <w:bCs/>
          <w:lang w:val="en-US"/>
        </w:rPr>
        <w:t>Buy Signal</w:t>
      </w:r>
      <w:r w:rsidRPr="004E25C9">
        <w:rPr>
          <w:lang w:val="en-US"/>
        </w:rPr>
        <w:t xml:space="preserve">: When the PPO value crosses from negative to positive, it indicates a shift in </w:t>
      </w:r>
      <w:r w:rsidR="00B314A4">
        <w:rPr>
          <w:lang w:val="en-US"/>
        </w:rPr>
        <w:t>momentum</w:t>
      </w:r>
      <w:r w:rsidR="00CC7772">
        <w:rPr>
          <w:lang w:val="en-US"/>
        </w:rPr>
        <w:t>,</w:t>
      </w:r>
      <w:r w:rsidR="00B314A4">
        <w:rPr>
          <w:lang w:val="en-US"/>
        </w:rPr>
        <w:t xml:space="preserve"> </w:t>
      </w:r>
      <w:r w:rsidRPr="004E25C9">
        <w:rPr>
          <w:lang w:val="en-US"/>
        </w:rPr>
        <w:t>signaling a potential buy opportunity. This can be observed in late 2008 and early 2009</w:t>
      </w:r>
      <w:r w:rsidR="00524FC7">
        <w:rPr>
          <w:lang w:val="en-US"/>
        </w:rPr>
        <w:t>.</w:t>
      </w:r>
      <w:r w:rsidR="006E26B8">
        <w:rPr>
          <w:lang w:val="en-US"/>
        </w:rPr>
        <w:t xml:space="preserve"> This behavior can be seen in </w:t>
      </w:r>
      <w:r w:rsidR="006E26B8">
        <w:rPr>
          <w:i/>
          <w:iCs/>
          <w:lang w:val="en-US"/>
        </w:rPr>
        <w:t xml:space="preserve">Figure </w:t>
      </w:r>
      <w:r w:rsidR="0007443D">
        <w:rPr>
          <w:i/>
          <w:iCs/>
          <w:lang w:val="en-US"/>
        </w:rPr>
        <w:t>–</w:t>
      </w:r>
      <w:r w:rsidR="006E26B8">
        <w:rPr>
          <w:i/>
          <w:iCs/>
          <w:lang w:val="en-US"/>
        </w:rPr>
        <w:t xml:space="preserve"> 5</w:t>
      </w:r>
      <w:r w:rsidR="0007443D">
        <w:rPr>
          <w:i/>
          <w:iCs/>
          <w:lang w:val="en-US"/>
        </w:rPr>
        <w:t>.</w:t>
      </w:r>
    </w:p>
    <w:p w14:paraId="1550B540" w14:textId="47645435" w:rsidR="0007443D" w:rsidRDefault="0007443D" w:rsidP="0007443D">
      <w:pPr>
        <w:jc w:val="right"/>
        <w:rPr>
          <w:lang w:val="en-US"/>
        </w:rPr>
      </w:pPr>
      <w:r w:rsidRPr="0007443D">
        <w:rPr>
          <w:lang w:val="en-US"/>
        </w:rPr>
        <w:drawing>
          <wp:inline distT="0" distB="0" distL="0" distR="0" wp14:anchorId="6EFF425A" wp14:editId="11F145B1">
            <wp:extent cx="4739489" cy="2453523"/>
            <wp:effectExtent l="0" t="0" r="0" b="0"/>
            <wp:docPr id="463555850" name="Picture 1" descr="A graph showing a price oscil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55850" name="Picture 1" descr="A graph showing a price oscillator&#10;&#10;Description automatically generated"/>
                    <pic:cNvPicPr/>
                  </pic:nvPicPr>
                  <pic:blipFill>
                    <a:blip r:embed="rId11"/>
                    <a:stretch>
                      <a:fillRect/>
                    </a:stretch>
                  </pic:blipFill>
                  <pic:spPr>
                    <a:xfrm>
                      <a:off x="0" y="0"/>
                      <a:ext cx="4753103" cy="2460570"/>
                    </a:xfrm>
                    <a:prstGeom prst="rect">
                      <a:avLst/>
                    </a:prstGeom>
                  </pic:spPr>
                </pic:pic>
              </a:graphicData>
            </a:graphic>
          </wp:inline>
        </w:drawing>
      </w:r>
    </w:p>
    <w:p w14:paraId="4221DDCF" w14:textId="565562FD" w:rsidR="0007443D" w:rsidRPr="004E25C9" w:rsidRDefault="0007443D" w:rsidP="0007443D">
      <w:pPr>
        <w:ind w:firstLine="720"/>
        <w:jc w:val="center"/>
      </w:pPr>
      <w:r w:rsidRPr="001D35BD">
        <w:rPr>
          <w:b/>
          <w:bCs/>
          <w:i/>
          <w:sz w:val="17"/>
          <w:szCs w:val="17"/>
        </w:rPr>
        <w:t xml:space="preserve">Figure </w:t>
      </w:r>
      <w:r>
        <w:rPr>
          <w:b/>
          <w:bCs/>
          <w:i/>
          <w:sz w:val="17"/>
          <w:szCs w:val="17"/>
        </w:rPr>
        <w:t>5</w:t>
      </w:r>
      <w:r>
        <w:rPr>
          <w:i/>
          <w:sz w:val="17"/>
          <w:szCs w:val="17"/>
        </w:rPr>
        <w:t>—</w:t>
      </w:r>
      <w:r>
        <w:rPr>
          <w:sz w:val="17"/>
          <w:szCs w:val="17"/>
        </w:rPr>
        <w:t xml:space="preserve"> </w:t>
      </w:r>
      <w:r w:rsidR="00666FB8">
        <w:rPr>
          <w:bCs/>
          <w:sz w:val="17"/>
          <w:szCs w:val="17"/>
        </w:rPr>
        <w:t>PPO of JPM stock shows Bearish and Bullish trends</w:t>
      </w:r>
    </w:p>
    <w:p w14:paraId="027D88F6" w14:textId="7E8F215F" w:rsidR="004E25C9" w:rsidRDefault="004E25C9" w:rsidP="004E25C9">
      <w:pPr>
        <w:numPr>
          <w:ilvl w:val="0"/>
          <w:numId w:val="14"/>
        </w:numPr>
        <w:jc w:val="left"/>
        <w:rPr>
          <w:lang w:val="en-US"/>
        </w:rPr>
      </w:pPr>
      <w:r w:rsidRPr="004E25C9">
        <w:rPr>
          <w:b/>
          <w:bCs/>
          <w:lang w:val="en-US"/>
        </w:rPr>
        <w:t>Sell Signal</w:t>
      </w:r>
      <w:r w:rsidRPr="004E25C9">
        <w:rPr>
          <w:lang w:val="en-US"/>
        </w:rPr>
        <w:t xml:space="preserve">: A crossover from positive to negative suggests that the stock's momentum is shifting from bullish to bearish, signaling a potential sell opportunity. This </w:t>
      </w:r>
      <w:r w:rsidR="00E3439A">
        <w:rPr>
          <w:lang w:val="en-US"/>
        </w:rPr>
        <w:t xml:space="preserve">can be seen in </w:t>
      </w:r>
      <w:r w:rsidRPr="004E25C9">
        <w:rPr>
          <w:lang w:val="en-US"/>
        </w:rPr>
        <w:t>mid-2009, where the PPO value falls below zero</w:t>
      </w:r>
      <w:bookmarkStart w:id="5" w:name="_rt5mqunz1s8o" w:colFirst="0" w:colLast="0"/>
      <w:bookmarkEnd w:id="5"/>
      <w:r w:rsidR="00E3439A">
        <w:rPr>
          <w:lang w:val="en-US"/>
        </w:rPr>
        <w:t>.</w:t>
      </w:r>
    </w:p>
    <w:p w14:paraId="7EDD5C8C" w14:textId="3ABD0854" w:rsidR="006A37F5" w:rsidRDefault="006A37F5" w:rsidP="006A37F5">
      <w:pPr>
        <w:jc w:val="left"/>
      </w:pPr>
      <w:r>
        <w:rPr>
          <w:lang w:val="en-US"/>
        </w:rPr>
        <w:t>I</w:t>
      </w:r>
      <w:r w:rsidRPr="006A37F5">
        <w:t xml:space="preserve">n summary, </w:t>
      </w:r>
      <w:r w:rsidR="002D420A">
        <w:t>PPO</w:t>
      </w:r>
      <w:r w:rsidRPr="006A37F5">
        <w:t xml:space="preserve"> is a </w:t>
      </w:r>
      <w:r w:rsidR="002D420A">
        <w:t>useful</w:t>
      </w:r>
      <w:r w:rsidRPr="006A37F5">
        <w:t xml:space="preserve"> trend-following indicator that helps identify bullish and bearish momentum. </w:t>
      </w:r>
    </w:p>
    <w:p w14:paraId="16AD565A" w14:textId="76BD0E1F" w:rsidR="00BE7176" w:rsidRDefault="004900C5" w:rsidP="00BE7176">
      <w:pPr>
        <w:pStyle w:val="Heading2"/>
      </w:pPr>
      <w:r>
        <w:lastRenderedPageBreak/>
        <w:t>2</w:t>
      </w:r>
      <w:r w:rsidR="00E94FE6" w:rsidRPr="00DA3FBD">
        <w:t>.</w:t>
      </w:r>
      <w:r w:rsidR="00E94FE6">
        <w:t>2.</w:t>
      </w:r>
      <w:r w:rsidR="00E94FE6">
        <w:t>5</w:t>
      </w:r>
      <w:r w:rsidR="00E94FE6">
        <w:t xml:space="preserve"> </w:t>
      </w:r>
      <w:r w:rsidR="00DF4D53">
        <w:t>Commodity Channel Index (CCI)</w:t>
      </w:r>
    </w:p>
    <w:p w14:paraId="099A0F51" w14:textId="4566031F" w:rsidR="00684031" w:rsidRDefault="00CF0C80" w:rsidP="00BE7176">
      <w:pPr>
        <w:pStyle w:val="Heading2"/>
        <w:rPr>
          <w:b w:val="0"/>
        </w:rPr>
      </w:pPr>
      <w:r w:rsidRPr="0090077C">
        <w:rPr>
          <w:bCs/>
        </w:rPr>
        <w:t>CCI</w:t>
      </w:r>
      <w:r w:rsidRPr="00636D6C">
        <w:rPr>
          <w:b w:val="0"/>
        </w:rPr>
        <w:t> measures the deviation of the stock price from its moving average over a set period. The indicator is used to detect overbought or oversold conditions. The CCI values fluctuate above or below zero, where readings above +100 suggest overbought conditions, and readings below -100 suggest oversold conditions</w:t>
      </w:r>
      <w:r w:rsidRPr="00636D6C">
        <w:rPr>
          <w:b w:val="0"/>
        </w:rPr>
        <w:t>.</w:t>
      </w:r>
    </w:p>
    <w:p w14:paraId="3A4069B7" w14:textId="76AC3461" w:rsidR="00517112" w:rsidRPr="00517112" w:rsidRDefault="00517112" w:rsidP="00517112">
      <w:pPr>
        <w:rPr>
          <w:b/>
          <w:bCs/>
          <w:lang w:val="en-US"/>
        </w:rPr>
      </w:pPr>
      <w:r w:rsidRPr="00517112">
        <w:rPr>
          <w:b/>
          <w:bCs/>
          <w:lang w:val="en-US"/>
        </w:rPr>
        <w:t>Buy and Sell Signals:</w:t>
      </w:r>
    </w:p>
    <w:p w14:paraId="54245B5C" w14:textId="000011EB" w:rsidR="00517112" w:rsidRPr="00517112" w:rsidRDefault="00517112" w:rsidP="00517112">
      <w:pPr>
        <w:numPr>
          <w:ilvl w:val="0"/>
          <w:numId w:val="15"/>
        </w:numPr>
        <w:rPr>
          <w:lang w:val="en-US"/>
        </w:rPr>
      </w:pPr>
      <w:r w:rsidRPr="00517112">
        <w:rPr>
          <w:b/>
          <w:bCs/>
          <w:lang w:val="en-US"/>
        </w:rPr>
        <w:t>Buy Signal</w:t>
      </w:r>
      <w:r w:rsidRPr="00517112">
        <w:rPr>
          <w:lang w:val="en-US"/>
        </w:rPr>
        <w:t xml:space="preserve">: When the CCI crosses below -100 (green line) and then starts to move upward, it indicates that the stock may be oversold, potentially signaling a buying opportunity. </w:t>
      </w:r>
    </w:p>
    <w:p w14:paraId="0A5BFA31" w14:textId="1DBC0305" w:rsidR="00C14012" w:rsidRDefault="00517112" w:rsidP="00C14012">
      <w:pPr>
        <w:numPr>
          <w:ilvl w:val="0"/>
          <w:numId w:val="15"/>
        </w:numPr>
        <w:rPr>
          <w:lang w:val="en-US"/>
        </w:rPr>
      </w:pPr>
      <w:r w:rsidRPr="00517112">
        <w:rPr>
          <w:b/>
          <w:bCs/>
          <w:lang w:val="en-US"/>
        </w:rPr>
        <w:t>Sell Signal</w:t>
      </w:r>
      <w:r w:rsidRPr="00517112">
        <w:rPr>
          <w:lang w:val="en-US"/>
        </w:rPr>
        <w:t xml:space="preserve">: A sell signal is generated when the CCI crosses above +100 (red line) and then starts to fall, indicating overbought conditions. </w:t>
      </w:r>
    </w:p>
    <w:p w14:paraId="40F7F58E" w14:textId="6D233BBE" w:rsidR="00EF56F6" w:rsidRDefault="00EF56F6" w:rsidP="00EF56F6">
      <w:pPr>
        <w:rPr>
          <w:i/>
          <w:iCs/>
          <w:lang w:val="en-US"/>
        </w:rPr>
      </w:pPr>
      <w:r>
        <w:rPr>
          <w:lang w:val="en-US"/>
        </w:rPr>
        <w:t xml:space="preserve">This behavior becomes apparent in </w:t>
      </w:r>
      <w:r>
        <w:rPr>
          <w:i/>
          <w:iCs/>
          <w:lang w:val="en-US"/>
        </w:rPr>
        <w:t>figure -6.</w:t>
      </w:r>
    </w:p>
    <w:p w14:paraId="08FD0BEC" w14:textId="2382D0C2" w:rsidR="002072FC" w:rsidRDefault="002072FC" w:rsidP="00DC2231">
      <w:pPr>
        <w:jc w:val="right"/>
        <w:rPr>
          <w:i/>
          <w:iCs/>
          <w:lang w:val="en-US"/>
        </w:rPr>
      </w:pPr>
      <w:r w:rsidRPr="002072FC">
        <w:rPr>
          <w:i/>
          <w:iCs/>
          <w:lang w:val="en-US"/>
        </w:rPr>
        <w:drawing>
          <wp:inline distT="0" distB="0" distL="0" distR="0" wp14:anchorId="6C8F65D6" wp14:editId="62F4D3F2">
            <wp:extent cx="4848131" cy="2458345"/>
            <wp:effectExtent l="0" t="0" r="3810" b="5715"/>
            <wp:docPr id="1555374237" name="Picture 1" descr="A graph showing a grap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74237" name="Picture 1" descr="A graph showing a graph of a stock market&#10;&#10;Description automatically generated"/>
                    <pic:cNvPicPr/>
                  </pic:nvPicPr>
                  <pic:blipFill>
                    <a:blip r:embed="rId12"/>
                    <a:stretch>
                      <a:fillRect/>
                    </a:stretch>
                  </pic:blipFill>
                  <pic:spPr>
                    <a:xfrm>
                      <a:off x="0" y="0"/>
                      <a:ext cx="4857954" cy="2463326"/>
                    </a:xfrm>
                    <a:prstGeom prst="rect">
                      <a:avLst/>
                    </a:prstGeom>
                  </pic:spPr>
                </pic:pic>
              </a:graphicData>
            </a:graphic>
          </wp:inline>
        </w:drawing>
      </w:r>
    </w:p>
    <w:p w14:paraId="5070EB84" w14:textId="5EE719B7" w:rsidR="002072FC" w:rsidRDefault="002072FC" w:rsidP="002072FC">
      <w:pPr>
        <w:ind w:firstLine="720"/>
        <w:jc w:val="center"/>
        <w:rPr>
          <w:bCs/>
          <w:sz w:val="17"/>
          <w:szCs w:val="17"/>
        </w:rPr>
      </w:pPr>
      <w:r w:rsidRPr="001D35BD">
        <w:rPr>
          <w:b/>
          <w:bCs/>
          <w:i/>
          <w:sz w:val="17"/>
          <w:szCs w:val="17"/>
        </w:rPr>
        <w:t xml:space="preserve">Figure </w:t>
      </w:r>
      <w:r w:rsidR="00E560D7">
        <w:rPr>
          <w:b/>
          <w:bCs/>
          <w:i/>
          <w:sz w:val="17"/>
          <w:szCs w:val="17"/>
        </w:rPr>
        <w:t>6</w:t>
      </w:r>
      <w:r>
        <w:rPr>
          <w:i/>
          <w:sz w:val="17"/>
          <w:szCs w:val="17"/>
        </w:rPr>
        <w:t>—</w:t>
      </w:r>
      <w:r>
        <w:rPr>
          <w:sz w:val="17"/>
          <w:szCs w:val="17"/>
        </w:rPr>
        <w:t xml:space="preserve"> </w:t>
      </w:r>
      <w:r w:rsidR="00FE319D">
        <w:rPr>
          <w:bCs/>
          <w:sz w:val="17"/>
          <w:szCs w:val="17"/>
        </w:rPr>
        <w:t>CCI shows the period when the stock is overbought and over sold</w:t>
      </w:r>
    </w:p>
    <w:p w14:paraId="3E11A8C1" w14:textId="7F5E3AA1" w:rsidR="00C20D1A" w:rsidRPr="002072FC" w:rsidRDefault="0058491F" w:rsidP="00DC2231">
      <w:pPr>
        <w:jc w:val="left"/>
      </w:pPr>
      <w:r w:rsidRPr="0058491F">
        <w:t>In summary, the </w:t>
      </w:r>
      <w:r w:rsidRPr="0058491F">
        <w:rPr>
          <w:b/>
          <w:bCs/>
        </w:rPr>
        <w:t>Commodity Channel Index (CCI)</w:t>
      </w:r>
      <w:r w:rsidRPr="0058491F">
        <w:t> is a momentum-based indicator that helps traders identify overbought or oversold condition</w:t>
      </w:r>
      <w:r w:rsidR="00374856">
        <w:t xml:space="preserve">s. </w:t>
      </w:r>
      <w:r w:rsidR="00374856" w:rsidRPr="00374856">
        <w:t>During the 2008-2009 period, the CCI effectively captures price deviations and provides signals aligned with market volatility</w:t>
      </w:r>
      <w:r w:rsidR="00374856">
        <w:t>.</w:t>
      </w:r>
    </w:p>
    <w:p w14:paraId="104F5DD9" w14:textId="77777777" w:rsidR="00E35244" w:rsidRPr="004E25C9" w:rsidRDefault="00E35244" w:rsidP="006A37F5">
      <w:pPr>
        <w:jc w:val="left"/>
        <w:rPr>
          <w:lang w:val="en-US"/>
        </w:rPr>
      </w:pPr>
    </w:p>
    <w:p w14:paraId="4F1D8FCF" w14:textId="42089087" w:rsidR="00001B0D" w:rsidRDefault="00511DBC" w:rsidP="00C17D42">
      <w:pPr>
        <w:pStyle w:val="Heading1"/>
      </w:pPr>
      <w:r>
        <w:lastRenderedPageBreak/>
        <w:t xml:space="preserve">3 </w:t>
      </w:r>
      <w:proofErr w:type="gramStart"/>
      <w:r w:rsidR="0041270B" w:rsidRPr="00C17D42">
        <w:t>Conclusion</w:t>
      </w:r>
      <w:proofErr w:type="gramEnd"/>
    </w:p>
    <w:p w14:paraId="5CF2AE6D" w14:textId="124B2974" w:rsidR="00E638D9" w:rsidRPr="00E638D9" w:rsidRDefault="00E638D9" w:rsidP="00E638D9">
      <w:pPr>
        <w:rPr>
          <w:lang w:val="en-US"/>
        </w:rPr>
      </w:pPr>
      <w:r w:rsidRPr="00E638D9">
        <w:rPr>
          <w:lang w:val="en-US"/>
        </w:rPr>
        <w:t>The results of this project highlight the stark differences between theoretical trading strategies and conventional market practices. The Theoretically Optimal Strategy (TOS) for JPM demonstrated an extraordinary cumulative return of 579.84%, significantly outperforming the benchmark of holding 1,000 shares, which yielded a</w:t>
      </w:r>
      <w:r w:rsidR="007D49B9">
        <w:rPr>
          <w:lang w:val="en-US"/>
        </w:rPr>
        <w:t xml:space="preserve"> </w:t>
      </w:r>
      <w:r w:rsidRPr="00E638D9">
        <w:rPr>
          <w:lang w:val="en-US"/>
        </w:rPr>
        <w:t>1.23% return. This stark contrast illustrates the potential benefits of utilizing perfect foresight in trading decisions.</w:t>
      </w:r>
    </w:p>
    <w:p w14:paraId="75D0370F" w14:textId="2C81886E" w:rsidR="00C17D42" w:rsidRPr="00E638D9" w:rsidRDefault="00E638D9" w:rsidP="00C17D42">
      <w:pPr>
        <w:rPr>
          <w:lang w:val="en-US"/>
        </w:rPr>
      </w:pPr>
      <w:r w:rsidRPr="00E638D9">
        <w:rPr>
          <w:lang w:val="en-US"/>
        </w:rPr>
        <w:t>In the second implementation, the application of various technical indicators provided a robust framework for identifying optimal buying and selling periods, particularly during the market's recovery phase in early 2009 and the overbought conditions in mid-2009.</w:t>
      </w:r>
    </w:p>
    <w:sectPr w:rsidR="00C17D42" w:rsidRPr="00E638D9">
      <w:footerReference w:type="default" r:id="rId13"/>
      <w:pgSz w:w="12240" w:h="15840"/>
      <w:pgMar w:top="1440" w:right="2160" w:bottom="216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3BB625" w14:textId="77777777" w:rsidR="00807103" w:rsidRDefault="00807103">
      <w:pPr>
        <w:spacing w:after="0" w:line="240" w:lineRule="auto"/>
      </w:pPr>
      <w:r>
        <w:separator/>
      </w:r>
    </w:p>
  </w:endnote>
  <w:endnote w:type="continuationSeparator" w:id="0">
    <w:p w14:paraId="0CB1DBA4" w14:textId="77777777" w:rsidR="00807103" w:rsidRDefault="00807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embedRegular r:id="rId1" w:fontKey="{4E7FCB2D-2B0A-A94B-90A3-DDAB8BD44B5E}"/>
  </w:font>
  <w:font w:name="Times New Roman">
    <w:panose1 w:val="02020603050405020304"/>
    <w:charset w:val="00"/>
    <w:family w:val="roman"/>
    <w:pitch w:val="variable"/>
    <w:sig w:usb0="E0002EFF" w:usb1="C000785B" w:usb2="00000009" w:usb3="00000000" w:csb0="000001FF" w:csb1="00000000"/>
    <w:embedRegular r:id="rId2" w:fontKey="{68C8097A-A353-8D4A-A39B-DC06BBE3439A}"/>
    <w:embedBold r:id="rId3" w:fontKey="{B357CCEB-A722-8744-B148-C2267665DEEB}"/>
    <w:embedBoldItalic r:id="rId4" w:fontKey="{471AE961-77EB-CD41-A1E1-422B46BA38DA}"/>
  </w:font>
  <w:font w:name="Courier New">
    <w:panose1 w:val="02070309020205020404"/>
    <w:charset w:val="00"/>
    <w:family w:val="modern"/>
    <w:pitch w:val="fixed"/>
    <w:sig w:usb0="E0002AFF" w:usb1="C0007843" w:usb2="00000009" w:usb3="00000000" w:csb0="000001FF" w:csb1="00000000"/>
    <w:embedRegular r:id="rId5" w:fontKey="{867BE585-2617-0C4B-A9C6-3F88AF0D2AC8}"/>
  </w:font>
  <w:font w:name="Wingdings">
    <w:panose1 w:val="05000000000000000000"/>
    <w:charset w:val="02"/>
    <w:family w:val="decorative"/>
    <w:pitch w:val="variable"/>
    <w:sig w:usb0="00000003" w:usb1="10000000" w:usb2="00000000" w:usb3="00000000" w:csb0="80000001" w:csb1="00000000"/>
    <w:embedRegular r:id="rId6" w:fontKey="{88C9E95D-EB53-AE40-B24A-46AD2B2A2A48}"/>
  </w:font>
  <w:font w:name="Palatino Linotype">
    <w:panose1 w:val="02040502050505030304"/>
    <w:charset w:val="00"/>
    <w:family w:val="roman"/>
    <w:pitch w:val="variable"/>
    <w:sig w:usb0="E0000287" w:usb1="40000013" w:usb2="00000000" w:usb3="00000000" w:csb0="0000019F" w:csb1="00000000"/>
    <w:embedRegular r:id="rId7" w:fontKey="{22B100B6-4D09-F340-B89C-30F47F4E56BF}"/>
    <w:embedBold r:id="rId8" w:fontKey="{F5D26922-8276-1749-BFAE-894B9438208E}"/>
    <w:embedItalic r:id="rId9" w:fontKey="{687F3D65-377B-CB41-8F0A-2D1FF93EAE81}"/>
    <w:embedBoldItalic r:id="rId10" w:fontKey="{16EB7CE6-C51C-C645-816C-794ECDA4A7BC}"/>
  </w:font>
  <w:font w:name="Lato">
    <w:panose1 w:val="020F0502020204030203"/>
    <w:charset w:val="00"/>
    <w:family w:val="swiss"/>
    <w:pitch w:val="variable"/>
    <w:sig w:usb0="E10002FF" w:usb1="5000ECFF" w:usb2="00000021" w:usb3="00000000" w:csb0="0000019F" w:csb1="00000000"/>
    <w:embedBoldItalic r:id="rId11" w:fontKey="{626AB50C-E3A4-A942-A923-42DF73D4E891}"/>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embedRegular r:id="rId13" w:fontKey="{7E4ACFEB-A851-814C-9788-264B6707B454}"/>
    <w:embedItalic r:id="rId14" w:fontKey="{9D4C02BD-6B4B-8646-91B8-6024787A90B7}"/>
  </w:font>
  <w:font w:name="Calibri">
    <w:panose1 w:val="020F0502020204030204"/>
    <w:charset w:val="00"/>
    <w:family w:val="swiss"/>
    <w:pitch w:val="variable"/>
    <w:sig w:usb0="E0002AFF" w:usb1="C000247B" w:usb2="00000009" w:usb3="00000000" w:csb0="000001FF" w:csb1="00000000"/>
    <w:embedRegular r:id="rId15" w:fontKey="{458AB144-39D8-FE4C-8428-90425113F33E}"/>
  </w:font>
  <w:font w:name="Cambria">
    <w:panose1 w:val="02040503050406030204"/>
    <w:charset w:val="00"/>
    <w:family w:val="roman"/>
    <w:pitch w:val="variable"/>
    <w:sig w:usb0="E00002FF" w:usb1="400004FF" w:usb2="00000000" w:usb3="00000000" w:csb0="0000019F" w:csb1="00000000"/>
    <w:embedRegular r:id="rId16" w:fontKey="{E9CF7C6E-5E29-8241-96BE-16C8529325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D80AD" w14:textId="77777777" w:rsidR="00001B0D" w:rsidRDefault="00000000">
    <w:pPr>
      <w:spacing w:after="680"/>
      <w:jc w:val="center"/>
    </w:pPr>
    <w:r>
      <w:fldChar w:fldCharType="begin"/>
    </w:r>
    <w:r>
      <w:instrText>PAGE</w:instrText>
    </w:r>
    <w:r>
      <w:fldChar w:fldCharType="separate"/>
    </w:r>
    <w:r w:rsidR="005211B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AE4AFE" w14:textId="77777777" w:rsidR="00807103" w:rsidRDefault="00807103">
      <w:pPr>
        <w:spacing w:after="0" w:line="240" w:lineRule="auto"/>
      </w:pPr>
      <w:r>
        <w:separator/>
      </w:r>
    </w:p>
  </w:footnote>
  <w:footnote w:type="continuationSeparator" w:id="0">
    <w:p w14:paraId="7FFCB83C" w14:textId="77777777" w:rsidR="00807103" w:rsidRDefault="008071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0C1C8C"/>
    <w:multiLevelType w:val="multilevel"/>
    <w:tmpl w:val="D438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D55814"/>
    <w:multiLevelType w:val="hybridMultilevel"/>
    <w:tmpl w:val="8458C7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10E6A87"/>
    <w:multiLevelType w:val="multilevel"/>
    <w:tmpl w:val="2570B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6A273F"/>
    <w:multiLevelType w:val="multilevel"/>
    <w:tmpl w:val="8FCAD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B57D5A"/>
    <w:multiLevelType w:val="hybridMultilevel"/>
    <w:tmpl w:val="81EEFB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F777314"/>
    <w:multiLevelType w:val="multilevel"/>
    <w:tmpl w:val="201C57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77C33C7"/>
    <w:multiLevelType w:val="multilevel"/>
    <w:tmpl w:val="17F2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804CF5"/>
    <w:multiLevelType w:val="multilevel"/>
    <w:tmpl w:val="1256E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6B043A"/>
    <w:multiLevelType w:val="multilevel"/>
    <w:tmpl w:val="99B09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D60DA3"/>
    <w:multiLevelType w:val="multilevel"/>
    <w:tmpl w:val="8C74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1F41DA"/>
    <w:multiLevelType w:val="multilevel"/>
    <w:tmpl w:val="FF5E8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3F5229"/>
    <w:multiLevelType w:val="multilevel"/>
    <w:tmpl w:val="7FE4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4C54BE"/>
    <w:multiLevelType w:val="hybridMultilevel"/>
    <w:tmpl w:val="664E5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C67046"/>
    <w:multiLevelType w:val="multilevel"/>
    <w:tmpl w:val="0D1C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9E6E13"/>
    <w:multiLevelType w:val="hybridMultilevel"/>
    <w:tmpl w:val="4000B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5048349">
    <w:abstractNumId w:val="5"/>
  </w:num>
  <w:num w:numId="2" w16cid:durableId="1392801793">
    <w:abstractNumId w:val="1"/>
  </w:num>
  <w:num w:numId="3" w16cid:durableId="782262082">
    <w:abstractNumId w:val="4"/>
  </w:num>
  <w:num w:numId="4" w16cid:durableId="534192365">
    <w:abstractNumId w:val="12"/>
  </w:num>
  <w:num w:numId="5" w16cid:durableId="303201273">
    <w:abstractNumId w:val="13"/>
  </w:num>
  <w:num w:numId="6" w16cid:durableId="1288126488">
    <w:abstractNumId w:val="9"/>
  </w:num>
  <w:num w:numId="7" w16cid:durableId="691415088">
    <w:abstractNumId w:val="2"/>
  </w:num>
  <w:num w:numId="8" w16cid:durableId="311721631">
    <w:abstractNumId w:val="7"/>
  </w:num>
  <w:num w:numId="9" w16cid:durableId="1772435367">
    <w:abstractNumId w:val="10"/>
  </w:num>
  <w:num w:numId="10" w16cid:durableId="1538355396">
    <w:abstractNumId w:val="6"/>
  </w:num>
  <w:num w:numId="11" w16cid:durableId="1614678159">
    <w:abstractNumId w:val="14"/>
  </w:num>
  <w:num w:numId="12" w16cid:durableId="1126580507">
    <w:abstractNumId w:val="0"/>
  </w:num>
  <w:num w:numId="13" w16cid:durableId="1682660054">
    <w:abstractNumId w:val="11"/>
  </w:num>
  <w:num w:numId="14" w16cid:durableId="1843084652">
    <w:abstractNumId w:val="8"/>
  </w:num>
  <w:num w:numId="15" w16cid:durableId="21084281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1B0D"/>
    <w:rsid w:val="00000100"/>
    <w:rsid w:val="00001B0D"/>
    <w:rsid w:val="00007D4B"/>
    <w:rsid w:val="00015D0B"/>
    <w:rsid w:val="000273A2"/>
    <w:rsid w:val="00030F1B"/>
    <w:rsid w:val="00031629"/>
    <w:rsid w:val="00033DC2"/>
    <w:rsid w:val="0004300D"/>
    <w:rsid w:val="000460D8"/>
    <w:rsid w:val="000514E1"/>
    <w:rsid w:val="0005517A"/>
    <w:rsid w:val="000645E0"/>
    <w:rsid w:val="00065694"/>
    <w:rsid w:val="0006768D"/>
    <w:rsid w:val="0007443D"/>
    <w:rsid w:val="0008098C"/>
    <w:rsid w:val="00092BD3"/>
    <w:rsid w:val="000A7F82"/>
    <w:rsid w:val="000C6C9B"/>
    <w:rsid w:val="000D26AB"/>
    <w:rsid w:val="000E210E"/>
    <w:rsid w:val="0010319D"/>
    <w:rsid w:val="00120200"/>
    <w:rsid w:val="00126568"/>
    <w:rsid w:val="001308A6"/>
    <w:rsid w:val="001312B3"/>
    <w:rsid w:val="00141B74"/>
    <w:rsid w:val="00144B89"/>
    <w:rsid w:val="00145D41"/>
    <w:rsid w:val="00154ABF"/>
    <w:rsid w:val="00165005"/>
    <w:rsid w:val="001659D8"/>
    <w:rsid w:val="00171684"/>
    <w:rsid w:val="00172527"/>
    <w:rsid w:val="00181F53"/>
    <w:rsid w:val="00183B58"/>
    <w:rsid w:val="00190A42"/>
    <w:rsid w:val="001A39D0"/>
    <w:rsid w:val="001B5B27"/>
    <w:rsid w:val="001C430A"/>
    <w:rsid w:val="001C5C03"/>
    <w:rsid w:val="001D200C"/>
    <w:rsid w:val="001D35BD"/>
    <w:rsid w:val="001D612A"/>
    <w:rsid w:val="001E03C8"/>
    <w:rsid w:val="001E08BB"/>
    <w:rsid w:val="001E4B7B"/>
    <w:rsid w:val="001F3E25"/>
    <w:rsid w:val="00201390"/>
    <w:rsid w:val="00203094"/>
    <w:rsid w:val="002072FC"/>
    <w:rsid w:val="002162F9"/>
    <w:rsid w:val="00222B01"/>
    <w:rsid w:val="002230B9"/>
    <w:rsid w:val="00231B2F"/>
    <w:rsid w:val="002550AD"/>
    <w:rsid w:val="00264571"/>
    <w:rsid w:val="002779C8"/>
    <w:rsid w:val="00291433"/>
    <w:rsid w:val="002916A3"/>
    <w:rsid w:val="0029547C"/>
    <w:rsid w:val="00295BB6"/>
    <w:rsid w:val="002B3CDF"/>
    <w:rsid w:val="002B4971"/>
    <w:rsid w:val="002B4FCB"/>
    <w:rsid w:val="002B527E"/>
    <w:rsid w:val="002B7A1B"/>
    <w:rsid w:val="002C1AC8"/>
    <w:rsid w:val="002C66A0"/>
    <w:rsid w:val="002D420A"/>
    <w:rsid w:val="002D443C"/>
    <w:rsid w:val="002D7B83"/>
    <w:rsid w:val="002E60D7"/>
    <w:rsid w:val="002F1CB8"/>
    <w:rsid w:val="00302AC6"/>
    <w:rsid w:val="003038B8"/>
    <w:rsid w:val="003233E9"/>
    <w:rsid w:val="003263BD"/>
    <w:rsid w:val="003267D5"/>
    <w:rsid w:val="003277E9"/>
    <w:rsid w:val="00342391"/>
    <w:rsid w:val="0034403B"/>
    <w:rsid w:val="00345813"/>
    <w:rsid w:val="0035047E"/>
    <w:rsid w:val="0035528E"/>
    <w:rsid w:val="0035773C"/>
    <w:rsid w:val="00364232"/>
    <w:rsid w:val="00370F24"/>
    <w:rsid w:val="00374856"/>
    <w:rsid w:val="0037679D"/>
    <w:rsid w:val="0037760C"/>
    <w:rsid w:val="00380762"/>
    <w:rsid w:val="0038162B"/>
    <w:rsid w:val="003A354E"/>
    <w:rsid w:val="003A40C7"/>
    <w:rsid w:val="003A746E"/>
    <w:rsid w:val="003B3498"/>
    <w:rsid w:val="003C35A9"/>
    <w:rsid w:val="003D5440"/>
    <w:rsid w:val="003D5601"/>
    <w:rsid w:val="003D5B42"/>
    <w:rsid w:val="003E1F77"/>
    <w:rsid w:val="003F057E"/>
    <w:rsid w:val="00404A16"/>
    <w:rsid w:val="00411B7F"/>
    <w:rsid w:val="0041270B"/>
    <w:rsid w:val="004138C5"/>
    <w:rsid w:val="00413FD3"/>
    <w:rsid w:val="00421C60"/>
    <w:rsid w:val="004416DE"/>
    <w:rsid w:val="00445A69"/>
    <w:rsid w:val="00455FC2"/>
    <w:rsid w:val="00462AC8"/>
    <w:rsid w:val="00463700"/>
    <w:rsid w:val="00472BA6"/>
    <w:rsid w:val="00474EB0"/>
    <w:rsid w:val="004900C5"/>
    <w:rsid w:val="004919AC"/>
    <w:rsid w:val="00497BA6"/>
    <w:rsid w:val="004A1D13"/>
    <w:rsid w:val="004B309B"/>
    <w:rsid w:val="004B3760"/>
    <w:rsid w:val="004B7870"/>
    <w:rsid w:val="004C2DB6"/>
    <w:rsid w:val="004D58CF"/>
    <w:rsid w:val="004E25C9"/>
    <w:rsid w:val="004F22C5"/>
    <w:rsid w:val="004F41F8"/>
    <w:rsid w:val="00500AFE"/>
    <w:rsid w:val="00511DBC"/>
    <w:rsid w:val="0051238C"/>
    <w:rsid w:val="0051607D"/>
    <w:rsid w:val="00517112"/>
    <w:rsid w:val="005211B1"/>
    <w:rsid w:val="0052181D"/>
    <w:rsid w:val="00522BD5"/>
    <w:rsid w:val="005235E3"/>
    <w:rsid w:val="00524FC7"/>
    <w:rsid w:val="00526B78"/>
    <w:rsid w:val="00532022"/>
    <w:rsid w:val="00537D82"/>
    <w:rsid w:val="00541274"/>
    <w:rsid w:val="00547FD4"/>
    <w:rsid w:val="00552380"/>
    <w:rsid w:val="00556505"/>
    <w:rsid w:val="005651F1"/>
    <w:rsid w:val="005708FB"/>
    <w:rsid w:val="00582FF9"/>
    <w:rsid w:val="00583994"/>
    <w:rsid w:val="0058491F"/>
    <w:rsid w:val="0059451B"/>
    <w:rsid w:val="005A2807"/>
    <w:rsid w:val="005B005E"/>
    <w:rsid w:val="005C2BE3"/>
    <w:rsid w:val="005C4D4D"/>
    <w:rsid w:val="005E0AEF"/>
    <w:rsid w:val="005E5A7E"/>
    <w:rsid w:val="00601495"/>
    <w:rsid w:val="00614172"/>
    <w:rsid w:val="006143D7"/>
    <w:rsid w:val="006145CB"/>
    <w:rsid w:val="00615549"/>
    <w:rsid w:val="006329B8"/>
    <w:rsid w:val="00634178"/>
    <w:rsid w:val="00636763"/>
    <w:rsid w:val="00636D6C"/>
    <w:rsid w:val="0065334B"/>
    <w:rsid w:val="00654F2F"/>
    <w:rsid w:val="00657EBD"/>
    <w:rsid w:val="00665B41"/>
    <w:rsid w:val="006664F5"/>
    <w:rsid w:val="00666FB8"/>
    <w:rsid w:val="00671258"/>
    <w:rsid w:val="00684031"/>
    <w:rsid w:val="0069028D"/>
    <w:rsid w:val="00691224"/>
    <w:rsid w:val="006A1E45"/>
    <w:rsid w:val="006A37F5"/>
    <w:rsid w:val="006B16E1"/>
    <w:rsid w:val="006C2AB6"/>
    <w:rsid w:val="006E26B8"/>
    <w:rsid w:val="006F6754"/>
    <w:rsid w:val="00705F9F"/>
    <w:rsid w:val="00716068"/>
    <w:rsid w:val="00744C78"/>
    <w:rsid w:val="007505BE"/>
    <w:rsid w:val="007510DC"/>
    <w:rsid w:val="00753392"/>
    <w:rsid w:val="00763D6A"/>
    <w:rsid w:val="00766EBD"/>
    <w:rsid w:val="007734F3"/>
    <w:rsid w:val="0077400E"/>
    <w:rsid w:val="007808A5"/>
    <w:rsid w:val="0078797A"/>
    <w:rsid w:val="007A4543"/>
    <w:rsid w:val="007A5491"/>
    <w:rsid w:val="007A6ED1"/>
    <w:rsid w:val="007B73DC"/>
    <w:rsid w:val="007D0278"/>
    <w:rsid w:val="007D4072"/>
    <w:rsid w:val="007D49B9"/>
    <w:rsid w:val="007E6AAE"/>
    <w:rsid w:val="00807103"/>
    <w:rsid w:val="00814904"/>
    <w:rsid w:val="0082137E"/>
    <w:rsid w:val="0082459B"/>
    <w:rsid w:val="00824B57"/>
    <w:rsid w:val="00826329"/>
    <w:rsid w:val="00835E0A"/>
    <w:rsid w:val="00836BC9"/>
    <w:rsid w:val="008441E0"/>
    <w:rsid w:val="00845B0D"/>
    <w:rsid w:val="00847231"/>
    <w:rsid w:val="008624BB"/>
    <w:rsid w:val="00871EA0"/>
    <w:rsid w:val="00882E61"/>
    <w:rsid w:val="008A3832"/>
    <w:rsid w:val="008B45AD"/>
    <w:rsid w:val="008B6066"/>
    <w:rsid w:val="008C5A21"/>
    <w:rsid w:val="008C76C3"/>
    <w:rsid w:val="008D079D"/>
    <w:rsid w:val="008E4A17"/>
    <w:rsid w:val="0090077C"/>
    <w:rsid w:val="00922E70"/>
    <w:rsid w:val="00925645"/>
    <w:rsid w:val="009315D2"/>
    <w:rsid w:val="00933E83"/>
    <w:rsid w:val="00945B75"/>
    <w:rsid w:val="009533CF"/>
    <w:rsid w:val="0096269E"/>
    <w:rsid w:val="009677F7"/>
    <w:rsid w:val="00987B7E"/>
    <w:rsid w:val="00987E73"/>
    <w:rsid w:val="00995F57"/>
    <w:rsid w:val="009A4297"/>
    <w:rsid w:val="009A4CD1"/>
    <w:rsid w:val="009B62D1"/>
    <w:rsid w:val="009D3304"/>
    <w:rsid w:val="009E28BC"/>
    <w:rsid w:val="009E45FD"/>
    <w:rsid w:val="00A0038D"/>
    <w:rsid w:val="00A011F0"/>
    <w:rsid w:val="00A01467"/>
    <w:rsid w:val="00A05084"/>
    <w:rsid w:val="00A3054F"/>
    <w:rsid w:val="00A5241E"/>
    <w:rsid w:val="00A63C31"/>
    <w:rsid w:val="00A913C0"/>
    <w:rsid w:val="00AA1D5B"/>
    <w:rsid w:val="00AA7A80"/>
    <w:rsid w:val="00AB02DE"/>
    <w:rsid w:val="00AB483C"/>
    <w:rsid w:val="00AB6D32"/>
    <w:rsid w:val="00AD5075"/>
    <w:rsid w:val="00AD5F77"/>
    <w:rsid w:val="00AD7856"/>
    <w:rsid w:val="00AE2F59"/>
    <w:rsid w:val="00AE4714"/>
    <w:rsid w:val="00AF069B"/>
    <w:rsid w:val="00AF2282"/>
    <w:rsid w:val="00AF4541"/>
    <w:rsid w:val="00B0736C"/>
    <w:rsid w:val="00B17395"/>
    <w:rsid w:val="00B314A4"/>
    <w:rsid w:val="00B43CD9"/>
    <w:rsid w:val="00B6104A"/>
    <w:rsid w:val="00B871CA"/>
    <w:rsid w:val="00B90E8F"/>
    <w:rsid w:val="00BA07A6"/>
    <w:rsid w:val="00BA2FC3"/>
    <w:rsid w:val="00BB2947"/>
    <w:rsid w:val="00BB3C4E"/>
    <w:rsid w:val="00BB6499"/>
    <w:rsid w:val="00BE7176"/>
    <w:rsid w:val="00BF0612"/>
    <w:rsid w:val="00BF534B"/>
    <w:rsid w:val="00BF5F19"/>
    <w:rsid w:val="00C05828"/>
    <w:rsid w:val="00C14012"/>
    <w:rsid w:val="00C17D42"/>
    <w:rsid w:val="00C20D1A"/>
    <w:rsid w:val="00C24D62"/>
    <w:rsid w:val="00C454C6"/>
    <w:rsid w:val="00C70128"/>
    <w:rsid w:val="00C7697A"/>
    <w:rsid w:val="00C86C2E"/>
    <w:rsid w:val="00C96241"/>
    <w:rsid w:val="00CA059C"/>
    <w:rsid w:val="00CA5DC7"/>
    <w:rsid w:val="00CC7772"/>
    <w:rsid w:val="00CD3495"/>
    <w:rsid w:val="00CF0535"/>
    <w:rsid w:val="00CF0C80"/>
    <w:rsid w:val="00CF155E"/>
    <w:rsid w:val="00D028E0"/>
    <w:rsid w:val="00D1430C"/>
    <w:rsid w:val="00D25E6A"/>
    <w:rsid w:val="00D64CC3"/>
    <w:rsid w:val="00D81FD1"/>
    <w:rsid w:val="00D86E75"/>
    <w:rsid w:val="00D9343F"/>
    <w:rsid w:val="00DA35A9"/>
    <w:rsid w:val="00DA3FBD"/>
    <w:rsid w:val="00DB280D"/>
    <w:rsid w:val="00DB4DDC"/>
    <w:rsid w:val="00DC2231"/>
    <w:rsid w:val="00DD37E7"/>
    <w:rsid w:val="00DD654A"/>
    <w:rsid w:val="00DD7F8C"/>
    <w:rsid w:val="00DF0CB3"/>
    <w:rsid w:val="00DF4D53"/>
    <w:rsid w:val="00DF7731"/>
    <w:rsid w:val="00E024CF"/>
    <w:rsid w:val="00E050E0"/>
    <w:rsid w:val="00E05899"/>
    <w:rsid w:val="00E1587D"/>
    <w:rsid w:val="00E23F9B"/>
    <w:rsid w:val="00E30A7F"/>
    <w:rsid w:val="00E32829"/>
    <w:rsid w:val="00E3439A"/>
    <w:rsid w:val="00E35244"/>
    <w:rsid w:val="00E560D7"/>
    <w:rsid w:val="00E608B6"/>
    <w:rsid w:val="00E624FC"/>
    <w:rsid w:val="00E638D9"/>
    <w:rsid w:val="00E74AFE"/>
    <w:rsid w:val="00E919CD"/>
    <w:rsid w:val="00E94FE6"/>
    <w:rsid w:val="00EB15AA"/>
    <w:rsid w:val="00ED75FB"/>
    <w:rsid w:val="00EE0689"/>
    <w:rsid w:val="00EE413A"/>
    <w:rsid w:val="00EF2145"/>
    <w:rsid w:val="00EF232B"/>
    <w:rsid w:val="00EF30F3"/>
    <w:rsid w:val="00EF56F6"/>
    <w:rsid w:val="00F04250"/>
    <w:rsid w:val="00F06A80"/>
    <w:rsid w:val="00F07C81"/>
    <w:rsid w:val="00F14077"/>
    <w:rsid w:val="00F15DBF"/>
    <w:rsid w:val="00F2029F"/>
    <w:rsid w:val="00F25DD1"/>
    <w:rsid w:val="00F3656A"/>
    <w:rsid w:val="00F36F1D"/>
    <w:rsid w:val="00F43926"/>
    <w:rsid w:val="00F43E6F"/>
    <w:rsid w:val="00F547F2"/>
    <w:rsid w:val="00F577CD"/>
    <w:rsid w:val="00F73939"/>
    <w:rsid w:val="00F8185F"/>
    <w:rsid w:val="00F94075"/>
    <w:rsid w:val="00FA4663"/>
    <w:rsid w:val="00FB18C7"/>
    <w:rsid w:val="00FC3AE9"/>
    <w:rsid w:val="00FC5FB6"/>
    <w:rsid w:val="00FE2723"/>
    <w:rsid w:val="00FE319D"/>
    <w:rsid w:val="00FF0F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309A6"/>
  <w15:docId w15:val="{B3569F0D-08BE-0149-AFA5-2C6D243EA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alatino Linotype" w:eastAsia="Palatino Linotype" w:hAnsi="Palatino Linotype" w:cs="Palatino Linotype"/>
        <w:sz w:val="22"/>
        <w:szCs w:val="22"/>
        <w:lang w:val="en" w:eastAsia="en-US" w:bidi="ar-SA"/>
      </w:rPr>
    </w:rPrDefault>
    <w:pPrDefault>
      <w:pPr>
        <w:spacing w:after="170" w:line="30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mallCaps/>
    </w:rPr>
  </w:style>
  <w:style w:type="paragraph" w:styleId="Heading2">
    <w:name w:val="heading 2"/>
    <w:basedOn w:val="Normal"/>
    <w:next w:val="Normal"/>
    <w:uiPriority w:val="9"/>
    <w:unhideWhenUsed/>
    <w:qFormat/>
    <w:pPr>
      <w:keepNext/>
      <w:keepLines/>
      <w:spacing w:before="170"/>
      <w:outlineLvl w:val="1"/>
    </w:pPr>
    <w:rPr>
      <w:b/>
    </w:rPr>
  </w:style>
  <w:style w:type="paragraph" w:styleId="Heading3">
    <w:name w:val="heading 3"/>
    <w:basedOn w:val="Normal"/>
    <w:next w:val="Normal"/>
    <w:uiPriority w:val="9"/>
    <w:unhideWhenUsed/>
    <w:qFormat/>
    <w:pPr>
      <w:keepNext/>
      <w:keepLines/>
      <w:spacing w:before="170"/>
      <w:outlineLvl w:val="2"/>
    </w:pPr>
    <w:rPr>
      <w:b/>
      <w:i/>
    </w:rPr>
  </w:style>
  <w:style w:type="paragraph" w:styleId="Heading4">
    <w:name w:val="heading 4"/>
    <w:basedOn w:val="Normal"/>
    <w:next w:val="Normal"/>
    <w:uiPriority w:val="9"/>
    <w:semiHidden/>
    <w:unhideWhenUsed/>
    <w:qFormat/>
    <w:pPr>
      <w:keepNext/>
      <w:keepLines/>
      <w:outlineLvl w:val="3"/>
    </w:pPr>
    <w:rPr>
      <w:b/>
      <w:i/>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110" w:line="276" w:lineRule="auto"/>
      <w:jc w:val="center"/>
    </w:pPr>
    <w:rPr>
      <w:sz w:val="34"/>
      <w:szCs w:val="34"/>
    </w:rPr>
  </w:style>
  <w:style w:type="paragraph" w:styleId="Subtitle">
    <w:name w:val="Subtitle"/>
    <w:basedOn w:val="Normal"/>
    <w:next w:val="Normal"/>
    <w:uiPriority w:val="11"/>
    <w:qFormat/>
    <w:pPr>
      <w:keepNext/>
      <w:keepLines/>
      <w:jc w:val="center"/>
    </w:pPr>
  </w:style>
  <w:style w:type="paragraph" w:styleId="ListParagraph">
    <w:name w:val="List Paragraph"/>
    <w:basedOn w:val="Normal"/>
    <w:uiPriority w:val="34"/>
    <w:qFormat/>
    <w:rsid w:val="002550AD"/>
    <w:pPr>
      <w:ind w:left="720"/>
      <w:contextualSpacing/>
    </w:pPr>
  </w:style>
  <w:style w:type="paragraph" w:styleId="NormalWeb">
    <w:name w:val="Normal (Web)"/>
    <w:basedOn w:val="Normal"/>
    <w:uiPriority w:val="99"/>
    <w:semiHidden/>
    <w:unhideWhenUsed/>
    <w:rsid w:val="00E638D9"/>
    <w:rPr>
      <w:rFonts w:ascii="Times New Roman" w:hAnsi="Times New Roman" w:cs="Times New Roman"/>
      <w:sz w:val="24"/>
      <w:szCs w:val="24"/>
    </w:rPr>
  </w:style>
  <w:style w:type="character" w:styleId="PlaceholderText">
    <w:name w:val="Placeholder Text"/>
    <w:basedOn w:val="DefaultParagraphFont"/>
    <w:uiPriority w:val="99"/>
    <w:semiHidden/>
    <w:rsid w:val="003F057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613267">
      <w:bodyDiv w:val="1"/>
      <w:marLeft w:val="0"/>
      <w:marRight w:val="0"/>
      <w:marTop w:val="0"/>
      <w:marBottom w:val="0"/>
      <w:divBdr>
        <w:top w:val="none" w:sz="0" w:space="0" w:color="auto"/>
        <w:left w:val="none" w:sz="0" w:space="0" w:color="auto"/>
        <w:bottom w:val="none" w:sz="0" w:space="0" w:color="auto"/>
        <w:right w:val="none" w:sz="0" w:space="0" w:color="auto"/>
      </w:divBdr>
    </w:div>
    <w:div w:id="246114451">
      <w:bodyDiv w:val="1"/>
      <w:marLeft w:val="0"/>
      <w:marRight w:val="0"/>
      <w:marTop w:val="0"/>
      <w:marBottom w:val="0"/>
      <w:divBdr>
        <w:top w:val="none" w:sz="0" w:space="0" w:color="auto"/>
        <w:left w:val="none" w:sz="0" w:space="0" w:color="auto"/>
        <w:bottom w:val="none" w:sz="0" w:space="0" w:color="auto"/>
        <w:right w:val="none" w:sz="0" w:space="0" w:color="auto"/>
      </w:divBdr>
    </w:div>
    <w:div w:id="409501401">
      <w:bodyDiv w:val="1"/>
      <w:marLeft w:val="0"/>
      <w:marRight w:val="0"/>
      <w:marTop w:val="0"/>
      <w:marBottom w:val="0"/>
      <w:divBdr>
        <w:top w:val="none" w:sz="0" w:space="0" w:color="auto"/>
        <w:left w:val="none" w:sz="0" w:space="0" w:color="auto"/>
        <w:bottom w:val="none" w:sz="0" w:space="0" w:color="auto"/>
        <w:right w:val="none" w:sz="0" w:space="0" w:color="auto"/>
      </w:divBdr>
    </w:div>
    <w:div w:id="450712420">
      <w:bodyDiv w:val="1"/>
      <w:marLeft w:val="0"/>
      <w:marRight w:val="0"/>
      <w:marTop w:val="0"/>
      <w:marBottom w:val="0"/>
      <w:divBdr>
        <w:top w:val="none" w:sz="0" w:space="0" w:color="auto"/>
        <w:left w:val="none" w:sz="0" w:space="0" w:color="auto"/>
        <w:bottom w:val="none" w:sz="0" w:space="0" w:color="auto"/>
        <w:right w:val="none" w:sz="0" w:space="0" w:color="auto"/>
      </w:divBdr>
    </w:div>
    <w:div w:id="712271696">
      <w:bodyDiv w:val="1"/>
      <w:marLeft w:val="0"/>
      <w:marRight w:val="0"/>
      <w:marTop w:val="0"/>
      <w:marBottom w:val="0"/>
      <w:divBdr>
        <w:top w:val="none" w:sz="0" w:space="0" w:color="auto"/>
        <w:left w:val="none" w:sz="0" w:space="0" w:color="auto"/>
        <w:bottom w:val="none" w:sz="0" w:space="0" w:color="auto"/>
        <w:right w:val="none" w:sz="0" w:space="0" w:color="auto"/>
      </w:divBdr>
      <w:divsChild>
        <w:div w:id="200215233">
          <w:marLeft w:val="0"/>
          <w:marRight w:val="0"/>
          <w:marTop w:val="0"/>
          <w:marBottom w:val="0"/>
          <w:divBdr>
            <w:top w:val="none" w:sz="0" w:space="0" w:color="auto"/>
            <w:left w:val="none" w:sz="0" w:space="0" w:color="auto"/>
            <w:bottom w:val="none" w:sz="0" w:space="0" w:color="auto"/>
            <w:right w:val="none" w:sz="0" w:space="0" w:color="auto"/>
          </w:divBdr>
          <w:divsChild>
            <w:div w:id="891961228">
              <w:marLeft w:val="0"/>
              <w:marRight w:val="0"/>
              <w:marTop w:val="0"/>
              <w:marBottom w:val="240"/>
              <w:divBdr>
                <w:top w:val="none" w:sz="0" w:space="0" w:color="auto"/>
                <w:left w:val="none" w:sz="0" w:space="0" w:color="auto"/>
                <w:bottom w:val="none" w:sz="0" w:space="0" w:color="auto"/>
                <w:right w:val="none" w:sz="0" w:space="0" w:color="auto"/>
              </w:divBdr>
            </w:div>
          </w:divsChild>
        </w:div>
        <w:div w:id="825240477">
          <w:marLeft w:val="0"/>
          <w:marRight w:val="0"/>
          <w:marTop w:val="0"/>
          <w:marBottom w:val="0"/>
          <w:divBdr>
            <w:top w:val="none" w:sz="0" w:space="0" w:color="auto"/>
            <w:left w:val="none" w:sz="0" w:space="0" w:color="auto"/>
            <w:bottom w:val="none" w:sz="0" w:space="0" w:color="auto"/>
            <w:right w:val="none" w:sz="0" w:space="0" w:color="auto"/>
          </w:divBdr>
          <w:divsChild>
            <w:div w:id="421226121">
              <w:marLeft w:val="0"/>
              <w:marRight w:val="0"/>
              <w:marTop w:val="0"/>
              <w:marBottom w:val="240"/>
              <w:divBdr>
                <w:top w:val="none" w:sz="0" w:space="0" w:color="auto"/>
                <w:left w:val="none" w:sz="0" w:space="0" w:color="auto"/>
                <w:bottom w:val="none" w:sz="0" w:space="0" w:color="auto"/>
                <w:right w:val="none" w:sz="0" w:space="0" w:color="auto"/>
              </w:divBdr>
            </w:div>
          </w:divsChild>
        </w:div>
        <w:div w:id="462579010">
          <w:marLeft w:val="0"/>
          <w:marRight w:val="0"/>
          <w:marTop w:val="0"/>
          <w:marBottom w:val="0"/>
          <w:divBdr>
            <w:top w:val="none" w:sz="0" w:space="0" w:color="auto"/>
            <w:left w:val="none" w:sz="0" w:space="0" w:color="auto"/>
            <w:bottom w:val="none" w:sz="0" w:space="0" w:color="auto"/>
            <w:right w:val="none" w:sz="0" w:space="0" w:color="auto"/>
          </w:divBdr>
          <w:divsChild>
            <w:div w:id="112658310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17504088">
      <w:bodyDiv w:val="1"/>
      <w:marLeft w:val="0"/>
      <w:marRight w:val="0"/>
      <w:marTop w:val="0"/>
      <w:marBottom w:val="0"/>
      <w:divBdr>
        <w:top w:val="none" w:sz="0" w:space="0" w:color="auto"/>
        <w:left w:val="none" w:sz="0" w:space="0" w:color="auto"/>
        <w:bottom w:val="none" w:sz="0" w:space="0" w:color="auto"/>
        <w:right w:val="none" w:sz="0" w:space="0" w:color="auto"/>
      </w:divBdr>
    </w:div>
    <w:div w:id="927614576">
      <w:bodyDiv w:val="1"/>
      <w:marLeft w:val="0"/>
      <w:marRight w:val="0"/>
      <w:marTop w:val="0"/>
      <w:marBottom w:val="0"/>
      <w:divBdr>
        <w:top w:val="none" w:sz="0" w:space="0" w:color="auto"/>
        <w:left w:val="none" w:sz="0" w:space="0" w:color="auto"/>
        <w:bottom w:val="none" w:sz="0" w:space="0" w:color="auto"/>
        <w:right w:val="none" w:sz="0" w:space="0" w:color="auto"/>
      </w:divBdr>
    </w:div>
    <w:div w:id="1120415612">
      <w:bodyDiv w:val="1"/>
      <w:marLeft w:val="0"/>
      <w:marRight w:val="0"/>
      <w:marTop w:val="0"/>
      <w:marBottom w:val="0"/>
      <w:divBdr>
        <w:top w:val="none" w:sz="0" w:space="0" w:color="auto"/>
        <w:left w:val="none" w:sz="0" w:space="0" w:color="auto"/>
        <w:bottom w:val="none" w:sz="0" w:space="0" w:color="auto"/>
        <w:right w:val="none" w:sz="0" w:space="0" w:color="auto"/>
      </w:divBdr>
    </w:div>
    <w:div w:id="1158957681">
      <w:bodyDiv w:val="1"/>
      <w:marLeft w:val="0"/>
      <w:marRight w:val="0"/>
      <w:marTop w:val="0"/>
      <w:marBottom w:val="0"/>
      <w:divBdr>
        <w:top w:val="none" w:sz="0" w:space="0" w:color="auto"/>
        <w:left w:val="none" w:sz="0" w:space="0" w:color="auto"/>
        <w:bottom w:val="none" w:sz="0" w:space="0" w:color="auto"/>
        <w:right w:val="none" w:sz="0" w:space="0" w:color="auto"/>
      </w:divBdr>
    </w:div>
    <w:div w:id="1205101065">
      <w:bodyDiv w:val="1"/>
      <w:marLeft w:val="0"/>
      <w:marRight w:val="0"/>
      <w:marTop w:val="0"/>
      <w:marBottom w:val="0"/>
      <w:divBdr>
        <w:top w:val="none" w:sz="0" w:space="0" w:color="auto"/>
        <w:left w:val="none" w:sz="0" w:space="0" w:color="auto"/>
        <w:bottom w:val="none" w:sz="0" w:space="0" w:color="auto"/>
        <w:right w:val="none" w:sz="0" w:space="0" w:color="auto"/>
      </w:divBdr>
    </w:div>
    <w:div w:id="1369530669">
      <w:bodyDiv w:val="1"/>
      <w:marLeft w:val="0"/>
      <w:marRight w:val="0"/>
      <w:marTop w:val="0"/>
      <w:marBottom w:val="0"/>
      <w:divBdr>
        <w:top w:val="none" w:sz="0" w:space="0" w:color="auto"/>
        <w:left w:val="none" w:sz="0" w:space="0" w:color="auto"/>
        <w:bottom w:val="none" w:sz="0" w:space="0" w:color="auto"/>
        <w:right w:val="none" w:sz="0" w:space="0" w:color="auto"/>
      </w:divBdr>
      <w:divsChild>
        <w:div w:id="1671449819">
          <w:marLeft w:val="0"/>
          <w:marRight w:val="0"/>
          <w:marTop w:val="0"/>
          <w:marBottom w:val="0"/>
          <w:divBdr>
            <w:top w:val="none" w:sz="0" w:space="0" w:color="auto"/>
            <w:left w:val="none" w:sz="0" w:space="0" w:color="auto"/>
            <w:bottom w:val="none" w:sz="0" w:space="0" w:color="auto"/>
            <w:right w:val="none" w:sz="0" w:space="0" w:color="auto"/>
          </w:divBdr>
          <w:divsChild>
            <w:div w:id="263148692">
              <w:marLeft w:val="0"/>
              <w:marRight w:val="0"/>
              <w:marTop w:val="0"/>
              <w:marBottom w:val="240"/>
              <w:divBdr>
                <w:top w:val="none" w:sz="0" w:space="0" w:color="auto"/>
                <w:left w:val="none" w:sz="0" w:space="0" w:color="auto"/>
                <w:bottom w:val="none" w:sz="0" w:space="0" w:color="auto"/>
                <w:right w:val="none" w:sz="0" w:space="0" w:color="auto"/>
              </w:divBdr>
            </w:div>
          </w:divsChild>
        </w:div>
        <w:div w:id="425734552">
          <w:marLeft w:val="0"/>
          <w:marRight w:val="0"/>
          <w:marTop w:val="0"/>
          <w:marBottom w:val="0"/>
          <w:divBdr>
            <w:top w:val="none" w:sz="0" w:space="0" w:color="auto"/>
            <w:left w:val="none" w:sz="0" w:space="0" w:color="auto"/>
            <w:bottom w:val="none" w:sz="0" w:space="0" w:color="auto"/>
            <w:right w:val="none" w:sz="0" w:space="0" w:color="auto"/>
          </w:divBdr>
          <w:divsChild>
            <w:div w:id="2125342036">
              <w:marLeft w:val="0"/>
              <w:marRight w:val="0"/>
              <w:marTop w:val="0"/>
              <w:marBottom w:val="240"/>
              <w:divBdr>
                <w:top w:val="none" w:sz="0" w:space="0" w:color="auto"/>
                <w:left w:val="none" w:sz="0" w:space="0" w:color="auto"/>
                <w:bottom w:val="none" w:sz="0" w:space="0" w:color="auto"/>
                <w:right w:val="none" w:sz="0" w:space="0" w:color="auto"/>
              </w:divBdr>
            </w:div>
          </w:divsChild>
        </w:div>
        <w:div w:id="1569881289">
          <w:marLeft w:val="0"/>
          <w:marRight w:val="0"/>
          <w:marTop w:val="0"/>
          <w:marBottom w:val="0"/>
          <w:divBdr>
            <w:top w:val="none" w:sz="0" w:space="0" w:color="auto"/>
            <w:left w:val="none" w:sz="0" w:space="0" w:color="auto"/>
            <w:bottom w:val="none" w:sz="0" w:space="0" w:color="auto"/>
            <w:right w:val="none" w:sz="0" w:space="0" w:color="auto"/>
          </w:divBdr>
          <w:divsChild>
            <w:div w:id="79306176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73458008">
      <w:bodyDiv w:val="1"/>
      <w:marLeft w:val="0"/>
      <w:marRight w:val="0"/>
      <w:marTop w:val="0"/>
      <w:marBottom w:val="0"/>
      <w:divBdr>
        <w:top w:val="none" w:sz="0" w:space="0" w:color="auto"/>
        <w:left w:val="none" w:sz="0" w:space="0" w:color="auto"/>
        <w:bottom w:val="none" w:sz="0" w:space="0" w:color="auto"/>
        <w:right w:val="none" w:sz="0" w:space="0" w:color="auto"/>
      </w:divBdr>
    </w:div>
    <w:div w:id="1414888804">
      <w:bodyDiv w:val="1"/>
      <w:marLeft w:val="0"/>
      <w:marRight w:val="0"/>
      <w:marTop w:val="0"/>
      <w:marBottom w:val="0"/>
      <w:divBdr>
        <w:top w:val="none" w:sz="0" w:space="0" w:color="auto"/>
        <w:left w:val="none" w:sz="0" w:space="0" w:color="auto"/>
        <w:bottom w:val="none" w:sz="0" w:space="0" w:color="auto"/>
        <w:right w:val="none" w:sz="0" w:space="0" w:color="auto"/>
      </w:divBdr>
    </w:div>
    <w:div w:id="1441101421">
      <w:bodyDiv w:val="1"/>
      <w:marLeft w:val="0"/>
      <w:marRight w:val="0"/>
      <w:marTop w:val="0"/>
      <w:marBottom w:val="0"/>
      <w:divBdr>
        <w:top w:val="none" w:sz="0" w:space="0" w:color="auto"/>
        <w:left w:val="none" w:sz="0" w:space="0" w:color="auto"/>
        <w:bottom w:val="none" w:sz="0" w:space="0" w:color="auto"/>
        <w:right w:val="none" w:sz="0" w:space="0" w:color="auto"/>
      </w:divBdr>
    </w:div>
    <w:div w:id="1507942821">
      <w:bodyDiv w:val="1"/>
      <w:marLeft w:val="0"/>
      <w:marRight w:val="0"/>
      <w:marTop w:val="0"/>
      <w:marBottom w:val="0"/>
      <w:divBdr>
        <w:top w:val="none" w:sz="0" w:space="0" w:color="auto"/>
        <w:left w:val="none" w:sz="0" w:space="0" w:color="auto"/>
        <w:bottom w:val="none" w:sz="0" w:space="0" w:color="auto"/>
        <w:right w:val="none" w:sz="0" w:space="0" w:color="auto"/>
      </w:divBdr>
    </w:div>
    <w:div w:id="1632977701">
      <w:bodyDiv w:val="1"/>
      <w:marLeft w:val="0"/>
      <w:marRight w:val="0"/>
      <w:marTop w:val="0"/>
      <w:marBottom w:val="0"/>
      <w:divBdr>
        <w:top w:val="none" w:sz="0" w:space="0" w:color="auto"/>
        <w:left w:val="none" w:sz="0" w:space="0" w:color="auto"/>
        <w:bottom w:val="none" w:sz="0" w:space="0" w:color="auto"/>
        <w:right w:val="none" w:sz="0" w:space="0" w:color="auto"/>
      </w:divBdr>
    </w:div>
    <w:div w:id="1702588175">
      <w:bodyDiv w:val="1"/>
      <w:marLeft w:val="0"/>
      <w:marRight w:val="0"/>
      <w:marTop w:val="0"/>
      <w:marBottom w:val="0"/>
      <w:divBdr>
        <w:top w:val="none" w:sz="0" w:space="0" w:color="auto"/>
        <w:left w:val="none" w:sz="0" w:space="0" w:color="auto"/>
        <w:bottom w:val="none" w:sz="0" w:space="0" w:color="auto"/>
        <w:right w:val="none" w:sz="0" w:space="0" w:color="auto"/>
      </w:divBdr>
    </w:div>
    <w:div w:id="1866091102">
      <w:bodyDiv w:val="1"/>
      <w:marLeft w:val="0"/>
      <w:marRight w:val="0"/>
      <w:marTop w:val="0"/>
      <w:marBottom w:val="0"/>
      <w:divBdr>
        <w:top w:val="none" w:sz="0" w:space="0" w:color="auto"/>
        <w:left w:val="none" w:sz="0" w:space="0" w:color="auto"/>
        <w:bottom w:val="none" w:sz="0" w:space="0" w:color="auto"/>
        <w:right w:val="none" w:sz="0" w:space="0" w:color="auto"/>
      </w:divBdr>
    </w:div>
    <w:div w:id="1948190865">
      <w:bodyDiv w:val="1"/>
      <w:marLeft w:val="0"/>
      <w:marRight w:val="0"/>
      <w:marTop w:val="0"/>
      <w:marBottom w:val="0"/>
      <w:divBdr>
        <w:top w:val="none" w:sz="0" w:space="0" w:color="auto"/>
        <w:left w:val="none" w:sz="0" w:space="0" w:color="auto"/>
        <w:bottom w:val="none" w:sz="0" w:space="0" w:color="auto"/>
        <w:right w:val="none" w:sz="0" w:space="0" w:color="auto"/>
      </w:divBdr>
    </w:div>
    <w:div w:id="2007400129">
      <w:bodyDiv w:val="1"/>
      <w:marLeft w:val="0"/>
      <w:marRight w:val="0"/>
      <w:marTop w:val="0"/>
      <w:marBottom w:val="0"/>
      <w:divBdr>
        <w:top w:val="none" w:sz="0" w:space="0" w:color="auto"/>
        <w:left w:val="none" w:sz="0" w:space="0" w:color="auto"/>
        <w:bottom w:val="none" w:sz="0" w:space="0" w:color="auto"/>
        <w:right w:val="none" w:sz="0" w:space="0" w:color="auto"/>
      </w:divBdr>
    </w:div>
    <w:div w:id="20474879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9B5EDE-ECB3-B94F-94B2-990F4B97FA44}">
  <we:reference id="4b785c87-866c-4bad-85d8-5d1ae467ac9a" version="3.14.3.0" store="EXCatalog" storeType="EXCatalog"/>
  <we:alternateReferences>
    <we:reference id="WA104381909" version="3.14.3.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83</TotalTime>
  <Pages>10</Pages>
  <Words>1561</Words>
  <Characters>8903</Characters>
  <Application>Microsoft Office Word</Application>
  <DocSecurity>0</DocSecurity>
  <Lines>74</Lines>
  <Paragraphs>20</Paragraphs>
  <ScaleCrop>false</ScaleCrop>
  <Company/>
  <LinksUpToDate>false</LinksUpToDate>
  <CharactersWithSpaces>10444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Kamaraju, Vishnu</cp:lastModifiedBy>
  <cp:revision>131</cp:revision>
  <dcterms:created xsi:type="dcterms:W3CDTF">2024-10-21T00:07:00Z</dcterms:created>
  <dcterms:modified xsi:type="dcterms:W3CDTF">2024-10-21T02:52:00Z</dcterms:modified>
</cp:coreProperties>
</file>